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Subtitle"/>
      </w:pPr>
      <w:r>
        <w:t xml:space="preserve">Модели</w:t>
      </w:r>
      <w:r>
        <w:t xml:space="preserve"> </w:t>
      </w:r>
      <w:r>
        <w:t xml:space="preserve">обслуживания</w:t>
      </w:r>
      <w:r>
        <w:t xml:space="preserve"> </w:t>
      </w:r>
      <w:r>
        <w:t xml:space="preserve">с</w:t>
      </w:r>
      <w:r>
        <w:t xml:space="preserve"> </w:t>
      </w:r>
      <w:r>
        <w:t xml:space="preserve">приоритетами</w:t>
      </w:r>
    </w:p>
    <w:p>
      <w:pPr>
        <w:pStyle w:val="Author"/>
      </w:pPr>
      <w:r>
        <w:t xml:space="preserve">Оганнисян</w:t>
      </w:r>
      <w:r>
        <w:t xml:space="preserve"> </w:t>
      </w:r>
      <w:r>
        <w:t xml:space="preserve">Давит</w:t>
      </w:r>
      <w:r>
        <w:t xml:space="preserve"> </w:t>
      </w:r>
      <w:r>
        <w:t xml:space="preserve">Багратович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numPr>
          <w:ilvl w:val="0"/>
          <w:numId w:val="1001"/>
        </w:numPr>
        <w:pStyle w:val="Compact"/>
      </w:pPr>
      <w:r>
        <w:t xml:space="preserve">Модель обслуживания механиков на складе</w:t>
      </w:r>
    </w:p>
    <w:p>
      <w:pPr>
        <w:numPr>
          <w:ilvl w:val="0"/>
          <w:numId w:val="1001"/>
        </w:numPr>
        <w:pStyle w:val="Compact"/>
      </w:pPr>
      <w:r>
        <w:t xml:space="preserve">Модель обслуживания в порту судов двух типов</w:t>
      </w:r>
    </w:p>
    <w:bookmarkEnd w:id="21"/>
    <w:bookmarkStart w:id="39"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28" w:name="модель-обслуживания-механиков-на-складе"/>
    <w:p>
      <w:pPr>
        <w:pStyle w:val="Heading2"/>
      </w:pPr>
      <w:r>
        <w:rPr>
          <w:rStyle w:val="SectionNumber"/>
        </w:rPr>
        <w:t xml:space="preserve">3.1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w:t>
      </w:r>
      <w:r>
        <w:t xml:space="preserve"> </w:t>
      </w:r>
      <w:r>
        <w:t xml:space="preserve">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w:t>
      </w:r>
      <w:r>
        <w:t xml:space="preserve"> </w:t>
      </w: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w:t>
      </w:r>
      <w:r>
        <w:t xml:space="preserve">первым пришел – первым обслужился</w:t>
      </w:r>
      <w:r>
        <w:t xml:space="preserve">”</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w:t>
      </w:r>
      <w:r>
        <w:t xml:space="preserve"> </w:t>
      </w:r>
      <w:r>
        <w:t xml:space="preserve">для этих типов заявок. Приоритеты запросов задаются путем использования для</w:t>
      </w:r>
      <w:r>
        <w:t xml:space="preserve"> </w:t>
      </w:r>
      <w:r>
        <w:t xml:space="preserve">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w:t>
      </w:r>
      <w:r>
        <w:t xml:space="preserve"> </w:t>
      </w:r>
      <w:r>
        <w:t xml:space="preserve">запросов первой категории.</w:t>
      </w:r>
    </w:p>
    <w:p>
      <w:pPr>
        <w:pStyle w:val="BodyText"/>
      </w:pPr>
      <w:r>
        <w:t xml:space="preserve">Таким образом, имеем (рис. 1).</w:t>
      </w:r>
    </w:p>
    <w:p>
      <w:pPr>
        <w:pStyle w:val="CaptionedFigure"/>
      </w:pPr>
      <w:r>
        <w:drawing>
          <wp:inline>
            <wp:extent cx="3733800" cy="3986327"/>
            <wp:effectExtent b="0" l="0" r="0" t="0"/>
            <wp:docPr descr="Рис. 1: Модель обслуживания механиков с приоритетам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3986327"/>
                    </a:xfrm>
                    <a:prstGeom prst="rect">
                      <a:avLst/>
                    </a:prstGeom>
                    <a:noFill/>
                    <a:ln w="9525">
                      <a:noFill/>
                      <a:headEnd/>
                      <a:tailEnd/>
                    </a:ln>
                  </pic:spPr>
                </pic:pic>
              </a:graphicData>
            </a:graphic>
          </wp:inline>
        </w:drawing>
      </w:r>
    </w:p>
    <w:p>
      <w:pPr>
        <w:pStyle w:val="ImageCaption"/>
      </w:pPr>
      <w:r>
        <w:t xml:space="preserve">Рис. 1: Модель обслуживания механиков с приоритетами</w:t>
      </w:r>
    </w:p>
    <w:p>
      <w:pPr>
        <w:pStyle w:val="BodyText"/>
      </w:pPr>
      <w:r>
        <w:t xml:space="preserve">За приоритеты отвечает пятый аргумент генерации заявок.</w:t>
      </w:r>
    </w:p>
    <w:p>
      <w:pPr>
        <w:pStyle w:val="BodyText"/>
      </w:pPr>
      <w:r>
        <w:t xml:space="preserve">После запуска симуляции получаем отчёт (рис. 2).</w:t>
      </w:r>
    </w:p>
    <w:p>
      <w:pPr>
        <w:pStyle w:val="CaptionedFigure"/>
      </w:pPr>
      <w:r>
        <w:drawing>
          <wp:inline>
            <wp:extent cx="3733800" cy="3437292"/>
            <wp:effectExtent b="0" l="0" r="0" t="0"/>
            <wp:docPr descr="Рис. 2: Отчёт по модели обслуживания механиков с приоритетами"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3437292"/>
                    </a:xfrm>
                    <a:prstGeom prst="rect">
                      <a:avLst/>
                    </a:prstGeom>
                    <a:noFill/>
                    <a:ln w="9525">
                      <a:noFill/>
                      <a:headEnd/>
                      <a:tailEnd/>
                    </a:ln>
                  </pic:spPr>
                </pic:pic>
              </a:graphicData>
            </a:graphic>
          </wp:inline>
        </w:drawing>
      </w:r>
    </w:p>
    <w:p>
      <w:pPr>
        <w:pStyle w:val="ImageCaption"/>
      </w:pPr>
      <w:r>
        <w:t xml:space="preserve">Рис. 2: Отчёт по модели обслуживания механиков с приоритетами</w:t>
      </w:r>
    </w:p>
    <w:p>
      <w:pPr>
        <w:pStyle w:val="BodyText"/>
      </w:pPr>
      <w:r>
        <w:t xml:space="preserve">Результаты работы модели:</w:t>
      </w:r>
    </w:p>
    <w:p>
      <w:pPr>
        <w:numPr>
          <w:ilvl w:val="0"/>
          <w:numId w:val="1002"/>
        </w:numPr>
        <w:pStyle w:val="Compact"/>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2"/>
        </w:numPr>
        <w:pStyle w:val="Compact"/>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numPr>
          <w:ilvl w:val="0"/>
          <w:numId w:val="1002"/>
        </w:numPr>
        <w:pStyle w:val="Compact"/>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numPr>
          <w:ilvl w:val="0"/>
          <w:numId w:val="1002"/>
        </w:numPr>
        <w:pStyle w:val="Compact"/>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numPr>
          <w:ilvl w:val="0"/>
          <w:numId w:val="1002"/>
        </w:numPr>
        <w:pStyle w:val="Compact"/>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(первый тип заявок),</w:t>
      </w:r>
      <w:r>
        <w:t xml:space="preserve"> </w:t>
      </w:r>
      <w:r>
        <w:rPr>
          <w:rStyle w:val="VerbatimChar"/>
        </w:rPr>
        <w:t xml:space="preserve">QS2</w:t>
      </w:r>
      <w:r>
        <w:t xml:space="preserve">(второй тип заявок),</w:t>
      </w:r>
      <w:r>
        <w:t xml:space="preserve"> </w:t>
      </w:r>
      <w:r>
        <w:rPr>
          <w:rStyle w:val="VerbatimChar"/>
        </w:rPr>
        <w:t xml:space="preserve">STOCKMAN</w:t>
      </w:r>
      <w:r>
        <w:t xml:space="preserve">(обработчик заявок).</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3"/>
        </w:numPr>
      </w:pPr>
      <w:r>
        <w:rPr>
          <w:rStyle w:val="VerbatimChar"/>
        </w:rPr>
        <w:t xml:space="preserve">QUEUE</w:t>
      </w:r>
      <w:r>
        <w:t xml:space="preserve">=QS1 – имя объекта типа «очередь» для первого типа заявок;</w:t>
      </w:r>
    </w:p>
    <w:p>
      <w:pPr>
        <w:numPr>
          <w:ilvl w:val="0"/>
          <w:numId w:val="1003"/>
        </w:numPr>
      </w:pPr>
      <w:r>
        <w:rPr>
          <w:rStyle w:val="VerbatimChar"/>
        </w:rPr>
        <w:t xml:space="preserve">MAX</w:t>
      </w:r>
      <w:r>
        <w:t xml:space="preserve">=8 – максимальное число ожидающих заявок от клиента в очереди;</w:t>
      </w:r>
    </w:p>
    <w:p>
      <w:pPr>
        <w:numPr>
          <w:ilvl w:val="0"/>
          <w:numId w:val="1003"/>
        </w:numPr>
      </w:pPr>
      <w:r>
        <w:rPr>
          <w:rStyle w:val="VerbatimChar"/>
        </w:rPr>
        <w:t xml:space="preserve">CONT</w:t>
      </w:r>
      <w:r>
        <w:t xml:space="preserve">=6 – количество заявок в очереди на момент завершения моделирования;</w:t>
      </w:r>
    </w:p>
    <w:p>
      <w:pPr>
        <w:numPr>
          <w:ilvl w:val="0"/>
          <w:numId w:val="1003"/>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=2,177 заявок от клиентов в среднем были в очереди;</w:t>
      </w:r>
    </w:p>
    <w:p>
      <w:pPr>
        <w:numPr>
          <w:ilvl w:val="0"/>
          <w:numId w:val="1003"/>
        </w:numPr>
      </w:pPr>
      <w:r>
        <w:rPr>
          <w:rStyle w:val="VerbatimChar"/>
        </w:rPr>
        <w:t xml:space="preserve">AVE.TIME</w:t>
      </w:r>
      <w:r>
        <w:t xml:space="preserve">=883,029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=935,747 минут в среднем заявки от клиентов провели в очереди (без учета «нулевых» входов в очередь).</w:t>
      </w:r>
    </w:p>
    <w:p>
      <w:pPr>
        <w:numPr>
          <w:ilvl w:val="0"/>
          <w:numId w:val="1003"/>
        </w:numPr>
      </w:pPr>
      <w:r>
        <w:rPr>
          <w:rStyle w:val="VerbatimChar"/>
        </w:rPr>
        <w:t xml:space="preserve">QUEUE</w:t>
      </w:r>
      <w:r>
        <w:t xml:space="preserve">=QS2 – имя объекта типа «очередь» для второго типа заявок;</w:t>
      </w:r>
    </w:p>
    <w:p>
      <w:pPr>
        <w:numPr>
          <w:ilvl w:val="0"/>
          <w:numId w:val="1003"/>
        </w:numPr>
      </w:pPr>
      <w:r>
        <w:rPr>
          <w:rStyle w:val="VerbatimChar"/>
        </w:rPr>
        <w:t xml:space="preserve">MAX</w:t>
      </w:r>
      <w:r>
        <w:t xml:space="preserve">=3 – максимальное число ожидающих заявок от клиента в очереди;</w:t>
      </w:r>
    </w:p>
    <w:p>
      <w:pPr>
        <w:numPr>
          <w:ilvl w:val="0"/>
          <w:numId w:val="1003"/>
        </w:numPr>
      </w:pPr>
      <w:r>
        <w:rPr>
          <w:rStyle w:val="VerbatimChar"/>
        </w:rPr>
        <w:t xml:space="preserve">CONT</w:t>
      </w:r>
      <w:r>
        <w:t xml:space="preserve">=2 – количество заявок в очереди на момент завершения моделирования;</w:t>
      </w:r>
    </w:p>
    <w:p>
      <w:pPr>
        <w:numPr>
          <w:ilvl w:val="0"/>
          <w:numId w:val="1003"/>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=0,439 заявок от клиентов в среднем были в очереди;</w:t>
      </w:r>
    </w:p>
    <w:p>
      <w:pPr>
        <w:numPr>
          <w:ilvl w:val="0"/>
          <w:numId w:val="1003"/>
        </w:numPr>
      </w:pPr>
      <w:r>
        <w:rPr>
          <w:rStyle w:val="VerbatimChar"/>
        </w:rPr>
        <w:t xml:space="preserve">AVE.TIME</w:t>
      </w:r>
      <w:r>
        <w:t xml:space="preserve">=152,399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numPr>
          <w:ilvl w:val="0"/>
          <w:numId w:val="1004"/>
        </w:numPr>
        <w:pStyle w:val="Compact"/>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numPr>
          <w:ilvl w:val="0"/>
          <w:numId w:val="1004"/>
        </w:numPr>
        <w:pStyle w:val="Compact"/>
      </w:pPr>
      <w:r>
        <w:rPr>
          <w:rStyle w:val="VerbatimChar"/>
        </w:rPr>
        <w:t xml:space="preserve">PRI</w:t>
      </w:r>
      <w:r>
        <w:t xml:space="preserve">=1 – следующая заявка с приоритетом 1, то есть первого типа;</w:t>
      </w:r>
    </w:p>
    <w:p>
      <w:pPr>
        <w:numPr>
          <w:ilvl w:val="0"/>
          <w:numId w:val="1004"/>
        </w:numPr>
        <w:pStyle w:val="Compact"/>
      </w:pPr>
      <w:r>
        <w:rPr>
          <w:rStyle w:val="VerbatimChar"/>
        </w:rPr>
        <w:t xml:space="preserve">BDT</w:t>
      </w:r>
      <w:r>
        <w:t xml:space="preserve">=28815,063 – время назначенного события, связанного с данным транзактом;</w:t>
      </w:r>
    </w:p>
    <w:p>
      <w:pPr>
        <w:numPr>
          <w:ilvl w:val="0"/>
          <w:numId w:val="1004"/>
        </w:numPr>
        <w:pStyle w:val="Compact"/>
      </w:pPr>
      <w:r>
        <w:rPr>
          <w:rStyle w:val="VerbatimChar"/>
        </w:rPr>
        <w:t xml:space="preserve">ASSEM</w:t>
      </w:r>
      <w:r>
        <w:t xml:space="preserve">=141 – номер семейства транзактов;</w:t>
      </w:r>
    </w:p>
    <w:p>
      <w:pPr>
        <w:numPr>
          <w:ilvl w:val="0"/>
          <w:numId w:val="1004"/>
        </w:numPr>
        <w:pStyle w:val="Compact"/>
      </w:pPr>
      <w:r>
        <w:rPr>
          <w:rStyle w:val="VerbatimChar"/>
        </w:rPr>
        <w:t xml:space="preserve">CURRENT</w:t>
      </w:r>
      <w:r>
        <w:t xml:space="preserve">=5 – номер блока, в котором находится транзакт;</w:t>
      </w:r>
    </w:p>
    <w:p>
      <w:pPr>
        <w:numPr>
          <w:ilvl w:val="0"/>
          <w:numId w:val="1004"/>
        </w:numPr>
        <w:pStyle w:val="Compact"/>
      </w:pPr>
      <w:r>
        <w:rPr>
          <w:rStyle w:val="VerbatimChar"/>
        </w:rPr>
        <w:t xml:space="preserve">NEXT</w:t>
      </w:r>
      <w:r>
        <w:t xml:space="preserve">=6 – номер блока, в который должен войти транзакт.</w:t>
      </w:r>
    </w:p>
    <w:bookmarkEnd w:id="28"/>
    <w:bookmarkStart w:id="38" w:name="Xf2c53700e2ed52c994f143e6374ea902f84194b"/>
    <w:p>
      <w:pPr>
        <w:pStyle w:val="Heading2"/>
      </w:pPr>
      <w:r>
        <w:rPr>
          <w:rStyle w:val="SectionNumber"/>
        </w:rPr>
        <w:t xml:space="preserve">3.2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Построение модели будет выглядеть следующим образом (рис. 3).</w:t>
      </w:r>
    </w:p>
    <w:p>
      <w:pPr>
        <w:pStyle w:val="CaptionedFigure"/>
      </w:pPr>
      <w:r>
        <w:drawing>
          <wp:inline>
            <wp:extent cx="3733800" cy="4940208"/>
            <wp:effectExtent b="0" l="0" r="0" t="0"/>
            <wp:docPr descr="Рис. 3: Модель обслуживания в порту судов двух типов"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4940208"/>
                    </a:xfrm>
                    <a:prstGeom prst="rect">
                      <a:avLst/>
                    </a:prstGeom>
                    <a:noFill/>
                    <a:ln w="9525">
                      <a:noFill/>
                      <a:headEnd/>
                      <a:tailEnd/>
                    </a:ln>
                  </pic:spPr>
                </pic:pic>
              </a:graphicData>
            </a:graphic>
          </wp:inline>
        </w:drawing>
      </w:r>
    </w:p>
    <w:p>
      <w:pPr>
        <w:pStyle w:val="ImageCaption"/>
      </w:pPr>
      <w:r>
        <w:t xml:space="preserve">Рис. 3: Модель обслуживания в порту судов двух типов</w:t>
      </w:r>
    </w:p>
    <w:p>
      <w:pPr>
        <w:pStyle w:val="BodyText"/>
      </w:pPr>
      <w:r>
        <w:t xml:space="preserve">Получим отчет по симуляции (рис. 4, 5).</w:t>
      </w:r>
    </w:p>
    <w:p>
      <w:pPr>
        <w:pStyle w:val="CaptionedFigure"/>
      </w:pPr>
      <w:r>
        <w:drawing>
          <wp:inline>
            <wp:extent cx="3733800" cy="3071351"/>
            <wp:effectExtent b="0" l="0" r="0" t="0"/>
            <wp:docPr descr="Рис. 4: Отчёт по модели обслуживания в порту судов двух типов"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3071351"/>
                    </a:xfrm>
                    <a:prstGeom prst="rect">
                      <a:avLst/>
                    </a:prstGeom>
                    <a:noFill/>
                    <a:ln w="9525">
                      <a:noFill/>
                      <a:headEnd/>
                      <a:tailEnd/>
                    </a:ln>
                  </pic:spPr>
                </pic:pic>
              </a:graphicData>
            </a:graphic>
          </wp:inline>
        </w:drawing>
      </w:r>
    </w:p>
    <w:p>
      <w:pPr>
        <w:pStyle w:val="ImageCaption"/>
      </w:pPr>
      <w:r>
        <w:t xml:space="preserve">Рис. 4: Отчёт по модели обслуживания в порту судов двух типов</w:t>
      </w:r>
    </w:p>
    <w:p>
      <w:pPr>
        <w:pStyle w:val="CaptionedFigure"/>
      </w:pPr>
      <w:r>
        <w:drawing>
          <wp:inline>
            <wp:extent cx="3733800" cy="2944274"/>
            <wp:effectExtent b="0" l="0" r="0" t="0"/>
            <wp:docPr descr="Рис. 5: Отчёт по модели обслуживания в порту судов двух типов"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944274"/>
                    </a:xfrm>
                    <a:prstGeom prst="rect">
                      <a:avLst/>
                    </a:prstGeom>
                    <a:noFill/>
                    <a:ln w="9525">
                      <a:noFill/>
                      <a:headEnd/>
                      <a:tailEnd/>
                    </a:ln>
                  </pic:spPr>
                </pic:pic>
              </a:graphicData>
            </a:graphic>
          </wp:inline>
        </w:drawing>
      </w:r>
    </w:p>
    <w:p>
      <w:pPr>
        <w:pStyle w:val="ImageCaption"/>
      </w:pPr>
      <w:r>
        <w:t xml:space="preserve">Рис. 5: Отчёт по модели обслуживания в порту судов двух типов</w:t>
      </w:r>
    </w:p>
    <w:p>
      <w:pPr>
        <w:pStyle w:val="BodyText"/>
      </w:pPr>
      <w:r>
        <w:t xml:space="preserve">Результаты работы модели:</w:t>
      </w:r>
    </w:p>
    <w:p>
      <w:pPr>
        <w:numPr>
          <w:ilvl w:val="0"/>
          <w:numId w:val="1005"/>
        </w:numPr>
        <w:pStyle w:val="Compact"/>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5"/>
        </w:numPr>
        <w:pStyle w:val="Compact"/>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w:t>
      </w:r>
    </w:p>
    <w:p>
      <w:pPr>
        <w:numPr>
          <w:ilvl w:val="0"/>
          <w:numId w:val="1005"/>
        </w:numPr>
        <w:pStyle w:val="Compact"/>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numPr>
          <w:ilvl w:val="0"/>
          <w:numId w:val="1005"/>
        </w:numPr>
        <w:pStyle w:val="Compact"/>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numPr>
          <w:ilvl w:val="0"/>
          <w:numId w:val="1005"/>
        </w:numPr>
        <w:pStyle w:val="Compact"/>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TYPE1</w:t>
      </w:r>
      <w:r>
        <w:t xml:space="preserve">(первый тип судов),</w:t>
      </w:r>
      <w:r>
        <w:t xml:space="preserve"> </w:t>
      </w:r>
      <w:r>
        <w:rPr>
          <w:rStyle w:val="VerbatimChar"/>
        </w:rPr>
        <w:t xml:space="preserve">TYPE2</w:t>
      </w:r>
      <w:r>
        <w:t xml:space="preserve">(второй тип судов),</w:t>
      </w:r>
      <w:r>
        <w:t xml:space="preserve"> </w:t>
      </w:r>
      <w:r>
        <w:rPr>
          <w:rStyle w:val="VerbatimChar"/>
        </w:rPr>
        <w:t xml:space="preserve">PRCH1</w:t>
      </w:r>
      <w:r>
        <w:t xml:space="preserve">(первый тип причала),</w:t>
      </w:r>
      <w:r>
        <w:t xml:space="preserve"> </w:t>
      </w:r>
      <w:r>
        <w:rPr>
          <w:rStyle w:val="VerbatimChar"/>
        </w:rPr>
        <w:t xml:space="preserve">PRCH2</w:t>
      </w:r>
      <w:r>
        <w:t xml:space="preserve">(второй тип причала).</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6"/>
        </w:numPr>
      </w:pPr>
      <w:r>
        <w:rPr>
          <w:rStyle w:val="VerbatimChar"/>
        </w:rPr>
        <w:t xml:space="preserve">QUEUE</w:t>
      </w:r>
      <w:r>
        <w:t xml:space="preserve">=TYPE1 – имя объекта типа «очередь» для первого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=0 – на момент завершения моделирования очередь была пуста;</w:t>
      </w:r>
    </w:p>
    <w:p>
      <w:pPr>
        <w:numPr>
          <w:ilvl w:val="0"/>
          <w:numId w:val="1006"/>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=0,750 заявок от клиентов в среднем были в очереди;</w:t>
      </w:r>
    </w:p>
    <w:p>
      <w:pPr>
        <w:numPr>
          <w:ilvl w:val="0"/>
          <w:numId w:val="1006"/>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06"/>
        </w:numPr>
      </w:pPr>
      <w:r>
        <w:rPr>
          <w:rStyle w:val="VerbatimChar"/>
        </w:rPr>
        <w:t xml:space="preserve">QUEUE</w:t>
      </w:r>
      <w:r>
        <w:t xml:space="preserve">=TYPE2 – имя объекта типа «очередь» для второго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=2 – количество заявок в очереди на момент завершения моделирования;</w:t>
      </w:r>
    </w:p>
    <w:p>
      <w:pPr>
        <w:numPr>
          <w:ilvl w:val="0"/>
          <w:numId w:val="1006"/>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=0,897 заявок от клиентов в среднем были в очереди;</w:t>
      </w:r>
    </w:p>
    <w:p>
      <w:pPr>
        <w:numPr>
          <w:ilvl w:val="0"/>
          <w:numId w:val="1006"/>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многоканальном устройстве</w:t>
      </w:r>
      <w:r>
        <w:t xml:space="preserve"> </w:t>
      </w:r>
      <w:r>
        <w:rPr>
          <w:rStyle w:val="VerbatimChar"/>
        </w:rPr>
        <w:t xml:space="preserve">STORAGE</w:t>
      </w:r>
      <w:r>
        <w:t xml:space="preserve"> </w:t>
      </w:r>
      <w:r>
        <w:t xml:space="preserve">(оператор,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38"/>
    <w:bookmarkEnd w:id="39"/>
    <w:bookmarkStart w:id="40"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были реализованы с помощью gpss:</w:t>
      </w:r>
    </w:p>
    <w:p>
      <w:pPr>
        <w:numPr>
          <w:ilvl w:val="0"/>
          <w:numId w:val="1007"/>
        </w:numPr>
        <w:pStyle w:val="Compact"/>
      </w:pPr>
      <w:r>
        <w:t xml:space="preserve">Модель обслуживания механиков на складе;</w:t>
      </w:r>
    </w:p>
    <w:p>
      <w:pPr>
        <w:numPr>
          <w:ilvl w:val="0"/>
          <w:numId w:val="1007"/>
        </w:numPr>
        <w:pStyle w:val="Compact"/>
      </w:pPr>
      <w:r>
        <w:t xml:space="preserve">Модель обслуживания в порту судов двух типов.</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Оганнисян Давит Багратович</dc:creator>
  <dc:language>ru-RU</dc:language>
  <cp:keywords/>
  <dcterms:created xsi:type="dcterms:W3CDTF">2025-05-17T08:16:58Z</dcterms:created>
  <dcterms:modified xsi:type="dcterms:W3CDTF">2025-05-17T08:16:58Z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PT Serif</vt:lpwstr>
  </property>
  <property fmtid="{D5CDD505-2E9C-101B-9397-08002B2CF9AE}" pid="61" name="mainfontoptions">
    <vt:lpwstr>Ligatures=TeX</vt:lpwstr>
  </property>
  <property fmtid="{D5CDD505-2E9C-101B-9397-08002B2CF9AE}" pid="62" name="monofont">
    <vt:lpwstr>PT Mono</vt:lpwstr>
  </property>
  <property fmtid="{D5CDD505-2E9C-101B-9397-08002B2CF9AE}" pid="63" name="monofontoptions">
    <vt:lpwstr>Scale=MatchLowercase,Scale=0.9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PT Serif</vt:lpwstr>
  </property>
  <property fmtid="{D5CDD505-2E9C-101B-9397-08002B2CF9AE}" pid="74" name="romanfontoptions">
    <vt:lpwstr>Ligatures=TeX</vt:lpwstr>
  </property>
  <property fmtid="{D5CDD505-2E9C-101B-9397-08002B2CF9AE}" pid="75" name="sansfont">
    <vt:lpwstr>PT Sans</vt:lpwstr>
  </property>
  <property fmtid="{D5CDD505-2E9C-101B-9397-08002B2CF9AE}" pid="76" name="sansfontoptions">
    <vt:lpwstr>Ligatures=TeX,Scale=MatchLowercase</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Модели обслуживания с приоритетами</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