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Cleveland Business Mentors</w:t>
      </w:r>
    </w:p>
    <w:p>
      <w:pPr>
        <w:pStyle w:val="Normal"/>
        <w:spacing w:before="0" w:after="200"/>
        <w:jc w:val="center"/>
        <w:rPr/>
      </w:pPr>
      <w:r>
        <w:rPr>
          <w:b/>
          <w:bCs/>
          <w:sz w:val="32"/>
          <w:szCs w:val="32"/>
        </w:rPr>
        <w:t>Domain Overview: Client Recruiting (CR)</w:t>
      </w:r>
    </w:p>
    <w:tbl>
      <w:tblPr>
        <w:tblW w:w="9360" w:type="dxa"/>
        <w:jc w:val="left"/>
        <w:tblInd w:w="0"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Version</w:t>
            </w:r>
          </w:p>
        </w:tc>
        <w:tc>
          <w:tcPr>
            <w:tcW w:w="7359" w:type="dxa"/>
            <w:tcBorders>
              <w:top w:val="single" w:sz="2" w:space="0" w:color="CCCCCC"/>
              <w:left w:val="single" w:sz="2" w:space="0" w:color="CCCCCC"/>
              <w:bottom w:val="single" w:sz="2" w:space="0" w:color="CCCCCC"/>
              <w:right w:val="single" w:sz="2" w:space="0" w:color="CCCCCC"/>
            </w:tcBorders>
          </w:tcPr>
          <w:p>
            <w:r>
              <w:t>1.4</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Status</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Draft</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Last Updated</w:t>
            </w:r>
          </w:p>
        </w:tc>
        <w:tc>
          <w:tcPr>
            <w:tcW w:w="7359" w:type="dxa"/>
            <w:tcBorders>
              <w:top w:val="single" w:sz="2" w:space="0" w:color="CCCCCC"/>
              <w:left w:val="single" w:sz="2" w:space="0" w:color="CCCCCC"/>
              <w:bottom w:val="single" w:sz="2" w:space="0" w:color="CCCCCC"/>
              <w:right w:val="single" w:sz="2" w:space="0" w:color="CCCCCC"/>
            </w:tcBorders>
          </w:tcPr>
          <w:p>
            <w:r>
              <w:t>04-30-26 04:58</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Domain Code</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Depends On</w:t>
            </w:r>
          </w:p>
        </w:tc>
        <w:tc>
          <w:tcPr>
            <w:tcW w:w="7359" w:type="dxa"/>
            <w:tcBorders>
              <w:top w:val="single" w:sz="2" w:space="0" w:color="CCCCCC"/>
              <w:left w:val="single" w:sz="2" w:space="0" w:color="CCCCCC"/>
              <w:bottom w:val="single" w:sz="2" w:space="0" w:color="CCCCCC"/>
              <w:right w:val="single" w:sz="2" w:space="0" w:color="CCCCCC"/>
            </w:tcBorders>
          </w:tcPr>
          <w:p>
            <w:r>
              <w:t>CBM-Master-PRD.docx v2.5, CBM-Entity-Inventory.docx v1.5, Contact-Entity-PRD.docx v1.6, Account-Entity-PRD.docx v1.6</w:t>
            </w:r>
          </w:p>
        </w:tc>
      </w:tr>
    </w:tbl>
    <w:p>
      <w:pPr>
        <w:pStyle w:val="Normal"/>
        <w:spacing w:before="0" w:after="200"/>
        <w:rPr/>
      </w:pPr>
      <w:r>
        <w:rPr/>
      </w:r>
    </w:p>
    <w:p>
      <w:pPr>
        <w:pStyle w:val="Heading1"/>
        <w:spacing w:before="240" w:after="200"/>
        <w:rPr/>
      </w:pPr>
      <w:r>
        <w:rPr/>
        <w:t>1. Domain Purpose</w:t>
      </w:r>
    </w:p>
    <w:p>
      <w:pPr>
        <w:pStyle w:val="Normal"/>
        <w:spacing w:before="0" w:after="200"/>
        <w:rPr/>
      </w:pPr>
      <w:r>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pStyle w:val="Normal"/>
        <w:spacing w:before="0" w:after="200"/>
        <w:rPr/>
      </w:pPr>
      <w:r>
        <w:rPr/>
        <w:t>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pStyle w:val="Normal"/>
        <w:spacing w:before="0" w:after="200"/>
        <w:rPr/>
      </w:pPr>
      <w:r>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pStyle w:val="Normal"/>
        <w:spacing w:before="0" w:after="200"/>
        <w:rPr/>
      </w:pPr>
      <w:r>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before="240" w:after="200"/>
        <w:rPr/>
      </w:pPr>
      <w:r>
        <w:rPr/>
        <w:t>1.1 Sub-Domain Structure and Rationale</w:t>
      </w:r>
    </w:p>
    <w:p>
      <w:pPr>
        <w:pStyle w:val="Normal"/>
        <w:spacing w:before="0" w:after="200"/>
        <w:rPr/>
      </w:pPr>
      <w:r>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w="9360" w:type="dxa"/>
        <w:jc w:val="left"/>
        <w:tblInd w:w="0" w:type="dxa"/>
        <w:tblLayout w:type="fixed"/>
        <w:tblCellMar>
          <w:top w:w="80" w:type="dxa"/>
          <w:left w:w="120" w:type="dxa"/>
          <w:bottom w:w="80" w:type="dxa"/>
          <w:right w:w="120" w:type="dxa"/>
        </w:tblCellMar>
      </w:tblPr>
      <w:tblGrid>
        <w:gridCol w:w="2199"/>
        <w:gridCol w:w="3200"/>
        <w:gridCol w:w="2400"/>
        <w:gridCol w:w="15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3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c>
          <w:tcPr>
            <w:tcW w:w="24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Scope</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CR-PARTNER</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Full lifecycle of referral partnerships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CR-MARKETING</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Outreach and Marketing</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Awareness generation through communications channels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CR-EVENTS</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and Event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Planning, delivery, and follow-up of client-facing 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CR-REACTIVATE</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Reactivation and Recovery</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Re-engaging former clients, incomplete applications, unconverted attendees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1"/>
        <w:spacing w:before="24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2155" cy="42760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12155" cy="4276090"/>
                    </a:xfrm>
                    <a:prstGeom prst="rect">
                      <a:avLst/>
                    </a:prstGeom>
                  </pic:spPr>
                </pic:pic>
              </a:graphicData>
            </a:graphic>
          </wp:anchor>
        </w:drawing>
      </w:r>
      <w:r>
        <w:br w:type="page"/>
      </w:r>
    </w:p>
    <w:p>
      <w:pPr>
        <w:pStyle w:val="Heading1"/>
        <w:spacing w:before="240" w:after="200"/>
        <w:rPr/>
      </w:pPr>
      <w:r>
        <w:rPr/>
        <w:t>2. Personas</w:t>
      </w:r>
    </w:p>
    <w:p>
      <w:pPr>
        <w:pStyle w:val="Normal"/>
        <w:spacing w:before="0" w:after="200"/>
        <w:rPr/>
      </w:pPr>
      <w:r>
        <w:rPr/>
        <w:t>Seven personas participate in the Client Recruiting domain. Each persona’s role is scoped to their specific function within CR.</w:t>
      </w:r>
    </w:p>
    <w:tbl>
      <w:tblPr>
        <w:tblW w:w="9360" w:type="dxa"/>
        <w:jc w:val="left"/>
        <w:tblInd w:w="0" w:type="dxa"/>
        <w:tblLayout w:type="fixed"/>
        <w:tblCellMar>
          <w:top w:w="80" w:type="dxa"/>
          <w:left w:w="120" w:type="dxa"/>
          <w:bottom w:w="80" w:type="dxa"/>
          <w:right w:w="120" w:type="dxa"/>
        </w:tblCellMar>
      </w:tblPr>
      <w:tblGrid>
        <w:gridCol w:w="1199"/>
        <w:gridCol w:w="2200"/>
        <w:gridCol w:w="5961"/>
      </w:tblGrid>
      <w:tr>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ID</w:t>
            </w:r>
          </w:p>
        </w:tc>
        <w:tc>
          <w:tcPr>
            <w:tcW w:w="2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Persona</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Processes incoming client applications generated through CR channels (partner referrals, marketing campaigns, events). The handoff point from the Client Recruiting domain to the Mentoring domain.</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MST-PER-006</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Mentor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Coordinates with the Partner Coordinator on partner-channel mentor recruitment initiatives where partner organizations contribute mentors from their professional networks.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MST-PER-007</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Leads outreach and marketing campaigns targeting prospective client businesses. Manages prospect contact lists, coordinates with the Partner Coordinator on joint marketing initiatives, and tracks campaign effectiveness. Primary operator in CR-MARKETING.</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MST-PER-008</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Coordinator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Manages the full partner organization lifecycle from prospecting through active relationship management. Coordinates across all sub-domains where partners are involved (co-sponsored events, joint marketing, mentor referrals). Primary operator in CR-PARTNER.</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MST-PER-009</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Content and Event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Plans and manages events, registration, attendance tracking, and post-event follow-up. Coordinates with partners and sponsors on co-sponsored events. Primary operator in CR-EVENTS.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MST-PER-012</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Member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Supports outreach activities and participates in events on an ad-hoc basis.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target of all CR activities. Registers for events, receives outreach communications, and submits applications for mentoring services.</w:t>
            </w:r>
          </w:p>
        </w:tc>
      </w:tr>
    </w:tbl>
    <w:p>
      <w:pPr>
        <w:pStyle w:val="Normal"/>
        <w:spacing w:before="0" w:after="200"/>
        <w:rPr/>
      </w:pPr>
      <w:r>
        <w:rPr/>
      </w:r>
    </w:p>
    <w:p>
      <w:pPr>
        <w:pStyle w:val="Heading1"/>
        <w:spacing w:before="240" w:after="200"/>
        <w:rPr/>
      </w:pPr>
      <w:r>
        <w:rPr/>
        <w:t>3. Business Processes</w:t>
      </w:r>
    </w:p>
    <w:p>
      <w:pPr>
        <w:pStyle w:val="Normal"/>
        <w:spacing w:before="0" w:after="200"/>
        <w:rPr/>
      </w:pPr>
      <w:r>
        <w:rPr/>
        <w:t>The Client Recruiting domain contains seven business processes organized across four sub-domains. Processes are listed in recommended production order within each sub-domain.</w:t>
      </w:r>
    </w:p>
    <w:p>
      <w:pPr>
        <w:pStyle w:val="Heading2"/>
        <w:spacing w:before="240" w:after="200"/>
        <w:rPr/>
      </w:pPr>
      <w:r>
        <w:rPr/>
        <w:t>3.1 Process Inventory</w:t>
      </w:r>
    </w:p>
    <w:tbl>
      <w:tblPr>
        <w:tblW w:w="9360" w:type="dxa"/>
        <w:jc w:val="left"/>
        <w:tblInd w:w="0" w:type="dxa"/>
        <w:tblLayout w:type="fixed"/>
        <w:tblCellMar>
          <w:top w:w="80" w:type="dxa"/>
          <w:left w:w="120" w:type="dxa"/>
          <w:bottom w:w="80" w:type="dxa"/>
          <w:right w:w="120" w:type="dxa"/>
        </w:tblCellMar>
      </w:tblPr>
      <w:tblGrid>
        <w:gridCol w:w="2600"/>
        <w:gridCol w:w="3399"/>
        <w:gridCol w:w="1800"/>
        <w:gridCol w:w="1560"/>
      </w:tblGrid>
      <w:tr>
        <w:trPr/>
        <w:tc>
          <w:tcPr>
            <w:tcW w:w="2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Code</w:t>
            </w:r>
          </w:p>
        </w:tc>
        <w:tc>
          <w:tcPr>
            <w:tcW w:w="33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Name</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Prospecting and Activation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Marketing Contact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Campaign Execution and Tracking</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Lifecycle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Post-Event Follow-Up and Conversion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Reactivation Outreach</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2"/>
        <w:spacing w:before="240" w:after="200"/>
        <w:rPr/>
      </w:pPr>
      <w:r>
        <w:rPr/>
        <w:t>3.2 CR-PARTNER — Partner Relationship Management</w:t>
      </w:r>
    </w:p>
    <w:p>
      <w:pPr>
        <w:pStyle w:val="Normal"/>
        <w:spacing w:before="0" w:after="200"/>
        <w:rPr/>
      </w:pPr>
      <w:r>
        <w:rPr/>
        <w:t>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pStyle w:val="Normal"/>
        <w:spacing w:before="0" w:after="200"/>
        <w:rPr/>
      </w:pPr>
      <w:r>
        <w:rPr>
          <w:b/>
          <w:bCs/>
        </w:rPr>
        <w:t xml:space="preserve">Primary personas: </w:t>
      </w:r>
      <w:r>
        <w:rPr/>
        <w:t xml:space="preserve">Partner Coordinator (MST-PER-008). </w:t>
      </w:r>
      <w:r>
        <w:rPr>
          <w:b/>
          <w:bCs/>
        </w:rPr>
        <w:t xml:space="preserve">Supporting personas: </w:t>
      </w:r>
      <w:r>
        <w:rPr/>
        <w:t>Content and Event Administrator (MST-PER-009), Client Recruiter (MST-PER-007), Mentor Recruiter (MST-PER-006).</w:t>
      </w:r>
    </w:p>
    <w:p>
      <w:pPr>
        <w:pStyle w:val="Heading3"/>
        <w:spacing w:before="240" w:after="200"/>
        <w:rPr/>
      </w:pPr>
      <w:r>
        <w:rPr/>
        <w:t>CR-PARTNER-PROSPECT — Partner Prospecting and Activation</w:t>
      </w:r>
    </w:p>
    <w:p>
      <w:pPr>
        <w:pStyle w:val="Normal"/>
        <w:spacing w:before="0" w:after="200"/>
        <w:rPr/>
      </w:pPr>
      <w:r>
        <w:rPr/>
        <w:t>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before="240" w:after="200"/>
        <w:rPr/>
      </w:pPr>
      <w:r>
        <w:rPr/>
        <w:t>CR-PARTNER-MANAGE — Partner Relationship Management</w:t>
      </w:r>
    </w:p>
    <w:p>
      <w:pPr>
        <w:pStyle w:val="Normal"/>
        <w:spacing w:before="0" w:after="200"/>
        <w:rPr/>
      </w:pPr>
      <w:r>
        <w:rPr/>
        <w:t>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pStyle w:val="Normal"/>
        <w:spacing w:before="0" w:after="200"/>
        <w:rPr/>
      </w:pPr>
      <w:r>
        <w:rPr>
          <w:b/>
          <w:bCs/>
        </w:rPr>
        <w:t xml:space="preserve">Dependency: </w:t>
      </w:r>
      <w:r>
        <w:rPr/>
        <w:t>CR-PARTNER-PROSPECT must be defined first. CR-PARTNER-MANAGE operates on records created by CR-PARTNER-PROSPECT.</w:t>
      </w:r>
    </w:p>
    <w:p>
      <w:pPr>
        <w:pStyle w:val="Heading2"/>
        <w:spacing w:before="240" w:after="200"/>
        <w:rPr/>
      </w:pPr>
      <w:r>
        <w:rPr/>
        <w:t>3.3 CR-MARKETING — Outreach and Marketing</w:t>
      </w:r>
    </w:p>
    <w:p>
      <w:pPr>
        <w:pStyle w:val="Normal"/>
        <w:spacing w:before="0" w:after="200"/>
        <w:rPr/>
      </w:pPr>
      <w:r>
        <w:rPr/>
        <w:t>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pStyle w:val="Normal"/>
        <w:spacing w:before="0" w:after="200"/>
        <w:rPr/>
      </w:pPr>
      <w:r>
        <w:rPr>
          <w:b/>
          <w:bCs/>
        </w:rPr>
        <w:t xml:space="preserve">Primary persona: </w:t>
      </w:r>
      <w:r>
        <w:rPr/>
        <w:t xml:space="preserve">Client Recruiter (MST-PER-007). </w:t>
      </w:r>
      <w:r>
        <w:rPr>
          <w:b/>
          <w:bCs/>
        </w:rPr>
        <w:t xml:space="preserve">Supporting persona: </w:t>
      </w:r>
      <w:r>
        <w:rPr/>
        <w:t>Partner Coordinator (MST-PER-008).</w:t>
      </w:r>
    </w:p>
    <w:p>
      <w:pPr>
        <w:pStyle w:val="Heading3"/>
        <w:spacing w:before="240" w:after="200"/>
        <w:rPr/>
      </w:pPr>
      <w:r>
        <w:rPr/>
        <w:t>CR-MARKETING-CONTACTS — Marketing Contact Management</w:t>
      </w:r>
    </w:p>
    <w:p>
      <w:pPr>
        <w:pStyle w:val="Normal"/>
        <w:spacing w:before="0" w:after="200"/>
        <w:rPr/>
      </w:pPr>
      <w:r>
        <w:rPr/>
        <w:t>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before="240" w:after="200"/>
        <w:rPr/>
      </w:pPr>
      <w:r>
        <w:rPr/>
        <w:t>CR-MARKETING-CAMPAIGNS — Campaign Execution and Tracking</w:t>
      </w:r>
    </w:p>
    <w:p>
      <w:pPr>
        <w:pStyle w:val="Normal"/>
        <w:spacing w:before="0" w:after="200"/>
        <w:rPr/>
      </w:pPr>
      <w:r>
        <w:rPr/>
        <w:t>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pStyle w:val="Normal"/>
        <w:spacing w:before="0" w:after="200"/>
        <w:rPr/>
      </w:pPr>
      <w:r>
        <w:rPr>
          <w:b/>
          <w:bCs/>
        </w:rPr>
        <w:t xml:space="preserve">Dependency: </w:t>
      </w:r>
      <w:r>
        <w:rPr/>
        <w:t>CR-MARKETING-CONTACTS must be defined first. Campaigns operate on the contact lists established by the contact management process.</w:t>
      </w:r>
    </w:p>
    <w:p>
      <w:pPr>
        <w:pStyle w:val="Heading2"/>
        <w:spacing w:before="240" w:after="200"/>
        <w:rPr/>
      </w:pPr>
      <w:r>
        <w:rPr/>
        <w:t>3.4 CR-EVENTS — Workshops and Event Management</w:t>
      </w:r>
    </w:p>
    <w:p>
      <w:pPr>
        <w:pStyle w:val="Normal"/>
        <w:spacing w:before="0" w:after="200"/>
        <w:rPr/>
      </w:pPr>
      <w:r>
        <w:rPr/>
        <w:t>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pStyle w:val="Normal"/>
        <w:spacing w:before="0" w:after="200"/>
        <w:rPr/>
      </w:pPr>
      <w:r>
        <w:rPr>
          <w:b/>
          <w:bCs/>
        </w:rPr>
        <w:t xml:space="preserve">Primary persona: </w:t>
      </w:r>
      <w:r>
        <w:rPr/>
        <w:t xml:space="preserve">Content and Event Administrator (MST-PER-009). </w:t>
      </w:r>
      <w:r>
        <w:rPr>
          <w:b/>
          <w:bCs/>
        </w:rPr>
        <w:t xml:space="preserve">Supporting personas: </w:t>
      </w:r>
      <w:r>
        <w:rPr/>
        <w:t>Partner Coordinator (MST-PER-008), Client Administrator (MST-PER-003), Client (MST-PER-013).</w:t>
      </w:r>
    </w:p>
    <w:p>
      <w:pPr>
        <w:pStyle w:val="Heading3"/>
        <w:spacing w:before="240" w:after="200"/>
        <w:rPr/>
      </w:pPr>
      <w:r>
        <w:rPr/>
        <w:t>CR-EVENTS-MANAGE — Event Lifecycle Management</w:t>
      </w:r>
    </w:p>
    <w:p>
      <w:pPr>
        <w:pStyle w:val="Normal"/>
        <w:spacing w:before="0" w:after="200"/>
        <w:rPr/>
      </w:pPr>
      <w:r>
        <w:rPr/>
        <w:t>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before="240" w:after="200"/>
        <w:rPr/>
      </w:pPr>
      <w:r>
        <w:rPr/>
        <w:t>CR-EVENTS-CONVERT — Post-Event Follow-Up and Conversion</w:t>
      </w:r>
    </w:p>
    <w:p>
      <w:pPr>
        <w:pStyle w:val="Normal"/>
        <w:spacing w:before="0" w:after="200"/>
        <w:rPr/>
      </w:pPr>
      <w:r>
        <w:rPr/>
        <w:t>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pStyle w:val="Normal"/>
        <w:spacing w:before="0" w:after="200"/>
        <w:rPr/>
      </w:pPr>
      <w:r>
        <w:rPr>
          <w:b/>
          <w:bCs/>
        </w:rPr>
        <w:t xml:space="preserve">Dependency: </w:t>
      </w:r>
      <w:r>
        <w:rPr/>
        <w:t>CR-EVENTS-MANAGE must be defined first. The conversion process operates on attendance data produced by event management.</w:t>
      </w:r>
    </w:p>
    <w:p>
      <w:pPr>
        <w:pStyle w:val="Heading2"/>
        <w:spacing w:before="240" w:after="200"/>
        <w:rPr/>
      </w:pPr>
      <w:r>
        <w:rPr/>
        <w:t>3.5 CR-REACTIVATE — Client Reactivation and Recovery</w:t>
      </w:r>
    </w:p>
    <w:p>
      <w:pPr>
        <w:pStyle w:val="Normal"/>
        <w:spacing w:before="0" w:after="200"/>
        <w:rPr/>
      </w:pPr>
      <w:r>
        <w:rPr/>
        <w:t>The Client Reactivation and Recovery sub-domain covers re-engaging people who have previously interacted with CBM but are not currently active. This maximizes return on prior recruiting investment by converting warm leads who already know CBM.</w:t>
      </w:r>
    </w:p>
    <w:p>
      <w:pPr>
        <w:pStyle w:val="Normal"/>
        <w:spacing w:before="0" w:after="200"/>
        <w:rPr/>
      </w:pPr>
      <w:r>
        <w:rPr>
          <w:b/>
          <w:bCs/>
        </w:rPr>
        <w:t xml:space="preserve">Primary persona: </w:t>
      </w:r>
      <w:r>
        <w:rPr/>
        <w:t xml:space="preserve">Client Recruiter (MST-PER-007). </w:t>
      </w:r>
      <w:r>
        <w:rPr>
          <w:b/>
          <w:bCs/>
        </w:rPr>
        <w:t xml:space="preserve">Supporting persona: </w:t>
      </w:r>
      <w:r>
        <w:rPr/>
        <w:t>Client Administrator (MST-PER-003).</w:t>
      </w:r>
    </w:p>
    <w:p>
      <w:pPr>
        <w:pStyle w:val="Heading3"/>
        <w:spacing w:before="240" w:after="200"/>
        <w:rPr/>
      </w:pPr>
      <w:r>
        <w:rPr/>
        <w:t>CR-REACTIVATE-OUTREACH — Reactivation Outreach</w:t>
      </w:r>
    </w:p>
    <w:p>
      <w:pPr>
        <w:pStyle w:val="Normal"/>
        <w:spacing w:before="0" w:after="200"/>
        <w:rPr/>
      </w:pPr>
      <w:r>
        <w:rPr/>
        <w:t>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pStyle w:val="Normal"/>
        <w:spacing w:before="0" w:after="200"/>
        <w:rPr/>
      </w:pPr>
      <w:r>
        <w:rPr>
          <w:b/>
          <w:bCs/>
        </w:rPr>
        <w:t xml:space="preserve">Cross-sub-domain dependency: </w:t>
      </w:r>
      <w:r>
        <w:rPr/>
        <w:t>CR-REACTIVATE receives unconverted attendees from CR-EVENTS-CONVERT, inactive prospects from CR-MARKETING-CONTACTS, and former client records from the Mentoring domain. It should be defined last.</w:t>
      </w:r>
    </w:p>
    <w:p>
      <w:pPr>
        <w:pStyle w:val="Heading2"/>
        <w:spacing w:before="240" w:after="200"/>
        <w:rPr/>
      </w:pPr>
      <w:r>
        <w:rPr/>
        <w:t>3.6 Process Production Order</w:t>
      </w:r>
    </w:p>
    <w:p>
      <w:pPr>
        <w:pStyle w:val="Normal"/>
        <w:spacing w:before="0" w:after="200"/>
        <w:rPr/>
      </w:pPr>
      <w:r>
        <w:rPr/>
        <w:t>Processes are produced in the following order. Within each sub-domain, the order follows lifecycle dependencies. Across sub-domains, the order reflects the flow of data and cross-sub-domain handoffs.</w:t>
      </w:r>
    </w:p>
    <w:tbl>
      <w:tblPr>
        <w:tblW w:w="9360" w:type="dxa"/>
        <w:jc w:val="left"/>
        <w:tblInd w:w="0" w:type="dxa"/>
        <w:tblLayout w:type="fixed"/>
        <w:tblCellMar>
          <w:top w:w="80" w:type="dxa"/>
          <w:left w:w="120" w:type="dxa"/>
          <w:bottom w:w="80" w:type="dxa"/>
          <w:right w:w="120" w:type="dxa"/>
        </w:tblCellMar>
      </w:tblPr>
      <w:tblGrid>
        <w:gridCol w:w="599"/>
        <w:gridCol w:w="2800"/>
        <w:gridCol w:w="5961"/>
      </w:tblGrid>
      <w:tr>
        <w:trPr/>
        <w:tc>
          <w:tcPr>
            <w:tcW w:w="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w:t>
            </w:r>
          </w:p>
        </w:tc>
        <w:tc>
          <w:tcPr>
            <w:tcW w:w="2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Code</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 tier. Creates partner records that all other sub-domains reference.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2</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records created by CR-PARTNER-PROSPECT.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3</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Establishes prospect contact management patterns used by campaigns and other sub-domains.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4</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contact lists established by CR-MARKETING-CONTACTS.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5</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Creates event and registration records. References partner records from CR-PARTNER.</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6</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attendance data produced by CR-EVENTS-MANAGE.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7</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Receives from all three other sub-domains. Defined last.</w:t>
            </w:r>
          </w:p>
        </w:tc>
      </w:tr>
    </w:tbl>
    <w:p>
      <w:pPr>
        <w:pStyle w:val="Normal"/>
        <w:spacing w:before="0" w:after="200"/>
        <w:rPr/>
      </w:pPr>
      <w:r>
        <w:rPr/>
      </w:r>
    </w:p>
    <w:p>
      <w:pPr>
        <w:pStyle w:val="Heading2"/>
        <w:spacing w:before="240" w:after="200"/>
        <w:rPr/>
      </w:pPr>
      <w:r>
        <w:rPr/>
        <w:t>3.7 Cross-Sub-Domain Relationships and Handoffs</w:t>
      </w:r>
    </w:p>
    <w:p>
      <w:pPr>
        <w:pStyle w:val="Normal"/>
        <w:spacing w:before="0" w:after="200"/>
        <w:rPr/>
      </w:pPr>
      <w:r>
        <w:rPr/>
        <w:t>The four CR sub-domains are designed to be autonomous but share data through defined handoff points.</w:t>
      </w:r>
    </w:p>
    <w:p>
      <w:pPr>
        <w:pStyle w:val="Normal"/>
        <w:spacing w:before="0" w:after="200"/>
        <w:rPr/>
      </w:pPr>
      <w:r>
        <w:rPr>
          <w:b/>
          <w:bCs/>
        </w:rPr>
        <w:t xml:space="preserve">CR-PARTNER → CR-EVENTS: </w:t>
      </w:r>
      <w:r>
        <w:rPr/>
        <w:t>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pStyle w:val="Normal"/>
        <w:spacing w:before="0" w:after="200"/>
        <w:rPr/>
      </w:pPr>
      <w:r>
        <w:rPr>
          <w:b/>
          <w:bCs/>
        </w:rPr>
        <w:t xml:space="preserve">CR-PARTNER → CR-MARKETING: </w:t>
      </w:r>
      <w:r>
        <w:rPr/>
        <w:t>Partners support joint marketing initiatives. The Partner Coordinator and Client Recruiter coordinate on campaigns that leverage partner channels and target partner service areas. This is a coordination activity rather than a formal data linkage.</w:t>
      </w:r>
    </w:p>
    <w:p>
      <w:pPr>
        <w:pStyle w:val="Normal"/>
        <w:spacing w:before="0" w:after="200"/>
        <w:rPr/>
      </w:pPr>
      <w:r>
        <w:rPr>
          <w:b/>
          <w:bCs/>
        </w:rPr>
        <w:t xml:space="preserve">CR-PARTNER → MR domain: </w:t>
      </w:r>
      <w:r>
        <w:rPr/>
        <w:t>Partners contribute mentors from their professional networks. The Mentor Recruiter coordinates with the Partner Coordinator. Mentor Contact records are linked to partner organizations via the Account relationship. This is a cross-domain reference.</w:t>
      </w:r>
    </w:p>
    <w:p>
      <w:pPr>
        <w:pStyle w:val="Normal"/>
        <w:spacing w:before="0" w:after="200"/>
        <w:rPr/>
      </w:pPr>
      <w:r>
        <w:rPr>
          <w:b/>
          <w:bCs/>
        </w:rPr>
        <w:t xml:space="preserve">CR-EVENTS-CONVERT → CR-REACTIVATE: </w:t>
      </w:r>
      <w:r>
        <w:rPr/>
        <w:t>Unconverted event attendees — people who attended but did not apply — become warm leads for CR-REACTIVATE-OUTREACH.</w:t>
      </w:r>
    </w:p>
    <w:p>
      <w:pPr>
        <w:pStyle w:val="Normal"/>
        <w:spacing w:before="0" w:after="200"/>
        <w:rPr/>
      </w:pPr>
      <w:r>
        <w:rPr>
          <w:b/>
          <w:bCs/>
        </w:rPr>
        <w:t xml:space="preserve">CR-MARKETING-CONTACTS → CR-REACTIVATE: </w:t>
      </w:r>
      <w:r>
        <w:rPr/>
        <w:t>Prospects who received outreach but did not convert may be recycled into reactivation segments over time.</w:t>
      </w:r>
    </w:p>
    <w:p>
      <w:pPr>
        <w:pStyle w:val="Heading2"/>
        <w:spacing w:before="240" w:after="200"/>
        <w:rPr/>
      </w:pPr>
      <w:r>
        <w:rPr/>
        <w:t>3.8 Handoff to Mentoring Domain</w:t>
      </w:r>
    </w:p>
    <w:p>
      <w:pPr>
        <w:pStyle w:val="Normal"/>
        <w:spacing w:before="0" w:after="200"/>
        <w:rPr/>
      </w:pPr>
      <w:r>
        <w:rPr/>
        <w:t>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pStyle w:val="Normal"/>
        <w:spacing w:before="0" w:after="200"/>
        <w:rPr/>
      </w:pPr>
      <w:r>
        <w:rPr/>
        <w:t>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before="240" w:after="200"/>
        <w:rPr/>
      </w:pPr>
      <w:r>
        <w:rPr/>
        <w:t>3.9 Shared Audience Strategy and Consolidated Oversight</w:t>
      </w:r>
    </w:p>
    <w:p>
      <w:pPr>
        <w:pStyle w:val="Normal"/>
        <w:spacing w:before="0" w:after="200"/>
        <w:rPr/>
      </w:pPr>
      <w:r>
        <w:rPr/>
        <w:t>The four sub-domains are different channels all targeting the same general audience — small businesses and entrepreneurs in Northeast Ohio who could benefit from mentoring. Consolidated oversight at the parent domain level serves three purposes.</w:t>
      </w:r>
    </w:p>
    <w:p>
      <w:pPr>
        <w:pStyle w:val="Normal"/>
        <w:spacing w:before="0" w:after="200"/>
        <w:rPr/>
      </w:pPr>
      <w:r>
        <w:rPr>
          <w:b/>
          <w:bCs/>
        </w:rPr>
        <w:t xml:space="preserve">Channel effectiveness comparison. </w:t>
      </w:r>
      <w:r>
        <w:rPr/>
        <w:t>Application source attribution enables CBM to compare partner referrals, marketing campaigns, events, and reactivation outreach in terms of volume and conversion rates. This supports data-driven decisions about where to focus recruiting effort.</w:t>
      </w:r>
    </w:p>
    <w:p>
      <w:pPr>
        <w:pStyle w:val="Normal"/>
        <w:spacing w:before="0" w:after="200"/>
        <w:rPr/>
      </w:pPr>
      <w:r>
        <w:rPr>
          <w:b/>
          <w:bCs/>
        </w:rPr>
        <w:t xml:space="preserve">Outreach coordination. </w:t>
      </w:r>
      <w:r>
        <w:rPr/>
        <w:t>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pStyle w:val="Normal"/>
        <w:spacing w:before="0" w:after="200"/>
        <w:rPr/>
      </w:pPr>
      <w:r>
        <w:rPr>
          <w:b/>
          <w:bCs/>
        </w:rPr>
        <w:t xml:space="preserve">Gap targeting. </w:t>
      </w:r>
      <w:r>
        <w:rPr/>
        <w:t>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before="240" w:after="200"/>
        <w:rPr/>
      </w:pPr>
      <w:r>
        <w:rPr/>
        <w:t>4. Data Reference</w:t>
      </w:r>
    </w:p>
    <w:p>
      <w:pPr>
        <w:pStyle w:val="Normal"/>
        <w:spacing w:before="0" w:after="200"/>
        <w:rPr/>
      </w:pPr>
      <w:r>
        <w:rPr/>
        <w:t>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before="240" w:after="200"/>
        <w:rPr/>
      </w:pPr>
      <w:r>
        <w:rPr/>
        <w:t>4.1 Entity Summary</w:t>
      </w:r>
    </w:p>
    <w:tbl>
      <w:tblPr>
        <w:tblW w:w="9360" w:type="dxa"/>
        <w:jc w:val="left"/>
        <w:tblInd w:w="0" w:type="dxa"/>
        <w:tblLayout w:type="fixed"/>
        <w:tblCellMar>
          <w:top w:w="80" w:type="dxa"/>
          <w:left w:w="120" w:type="dxa"/>
          <w:bottom w:w="80" w:type="dxa"/>
          <w:right w:w="120" w:type="dxa"/>
        </w:tblCellMar>
      </w:tblPr>
      <w:tblGrid>
        <w:gridCol w:w="2000"/>
        <w:gridCol w:w="1200"/>
        <w:gridCol w:w="1200"/>
        <w:gridCol w:w="4959"/>
      </w:tblGrid>
      <w:tr>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CRM Entity</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Type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Entity PRD</w:t>
            </w:r>
          </w:p>
        </w:tc>
        <w:tc>
          <w:tcPr>
            <w:tcW w:w="49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Person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v1.1</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Partner, Presenter, and Member contact types. Prospect contacts for marketing. Event registrants.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Company</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v1.0</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and Partner account types. Partner organization profiles, status lifecycle, liaison assignment, and agreement tracking.</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Partnership Agreement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Formal agreements with partner organizations. Entity PRD depends on CR-PARTNER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seminars, webinars, and events. Entity PRD depends on CR-EVENTS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Registration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Individual registrations for events with attendance tracking. Entity PRD depends on CR-EVENTS process documents.</w:t>
            </w:r>
          </w:p>
        </w:tc>
      </w:tr>
    </w:tbl>
    <w:p>
      <w:pPr>
        <w:pStyle w:val="Normal"/>
        <w:spacing w:before="0" w:after="200"/>
        <w:rPr/>
      </w:pPr>
      <w:r>
        <w:rPr/>
      </w:r>
    </w:p>
    <w:p>
      <w:pPr>
        <w:pStyle w:val="Heading2"/>
        <w:spacing w:before="240" w:after="200"/>
        <w:rPr/>
      </w:pPr>
      <w:r>
        <w:rPr/>
        <w:t>4.2 Contact Entity</w:t>
      </w:r>
    </w:p>
    <w:p>
      <w:pPr>
        <w:pStyle w:val="Normal"/>
        <w:spacing w:before="0" w:after="200"/>
        <w:rPr/>
      </w:pPr>
      <w:r>
        <w:rPr/>
        <w:t>The Contact entity is a shared native Person type spanning all four domains. The Contact Entity PRD v1.6 documents all native and custom Contact fields across the four domains. CR domain coverage is currently incomplete (CON-ISS-004). The following contactType values participate in the CR domain: Client, Partner, Presenter, and Member.</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(CON-ISS-001): </w:t>
      </w:r>
      <w:r>
        <w:rPr/>
        <w:t>Analogous to mentorStatus. Lifecycle stages and field definition to be established during CR process definition or MN-INTAKE Entity PRD work.</w:t>
      </w:r>
    </w:p>
    <w:p>
      <w:pPr>
        <w:pStyle w:val="Normal"/>
        <w:spacing w:before="0" w:after="200"/>
        <w:rPr/>
      </w:pPr>
      <w:r>
        <w:rPr>
          <w:b/>
          <w:bCs/>
        </w:rPr>
        <w:t xml:space="preserve">Partner lifecycle field (CON-ISS-002): </w:t>
      </w:r>
      <w:r>
        <w:rPr/>
        <w:t>Contact-level partner status, if needed beyond the Account-level partnerStatus. To be established during CR-PARTNER process definition.</w:t>
      </w:r>
    </w:p>
    <w:p>
      <w:pPr>
        <w:pStyle w:val="Normal"/>
        <w:spacing w:before="0" w:after="200"/>
        <w:rPr/>
      </w:pPr>
      <w:r>
        <w:rPr>
          <w:b/>
          <w:bCs/>
        </w:rPr>
        <w:t xml:space="preserve">Partner-specific custom fields: </w:t>
      </w:r>
      <w:r>
        <w:rPr/>
        <w:t>Role at partner organization, primary contact designation by function, and other partner contact fields as surfaced by CR-PARTNER processes.</w:t>
      </w:r>
    </w:p>
    <w:p>
      <w:pPr>
        <w:pStyle w:val="Normal"/>
        <w:spacing w:before="0" w:after="200"/>
        <w:rPr/>
      </w:pPr>
      <w:r>
        <w:rPr>
          <w:b/>
          <w:bCs/>
        </w:rPr>
        <w:t xml:space="preserve">Presenter-specific fields: </w:t>
      </w:r>
      <w:r>
        <w:rPr/>
        <w:t>Bio, topic expertise, or other fields as surfaced by CR-EVENTS processes, if any beyond what the event record captures.</w:t>
      </w:r>
    </w:p>
    <w:p>
      <w:pPr>
        <w:pStyle w:val="Normal"/>
        <w:spacing w:before="0" w:after="200"/>
        <w:rPr/>
      </w:pPr>
      <w:r>
        <w:rPr>
          <w:b/>
          <w:bCs/>
        </w:rPr>
        <w:t xml:space="preserve">Member-specific fields: </w:t>
      </w:r>
      <w:r>
        <w:rPr/>
        <w:t>To be defined during CR process definition, if any are needed beyond basic contact information.</w:t>
      </w:r>
    </w:p>
    <w:p>
      <w:pPr>
        <w:pStyle w:val="Normal"/>
        <w:spacing w:before="0" w:after="200"/>
        <w:rPr/>
      </w:pPr>
      <w:r>
        <w:rPr>
          <w:b/>
          <w:bCs/>
        </w:rPr>
        <w:t xml:space="preserve">How Did You Hear About CBM values (CON-ISS-008): </w:t>
      </w:r>
      <w:r>
        <w:rPr/>
        <w:t>CR processes will contribute values to this shared enum field for application source attribution.</w:t>
      </w:r>
    </w:p>
    <w:p>
      <w:pPr>
        <w:pStyle w:val="Normal"/>
        <w:spacing w:before="0" w:after="200"/>
        <w:rPr/>
      </w:pPr>
      <w:r>
        <w:rPr>
          <w:b/>
          <w:bCs/>
        </w:rPr>
        <w:t xml:space="preserve">Anticipated future relationships: </w:t>
      </w:r>
      <w:r>
        <w:rPr/>
        <w:t>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before="240" w:after="200"/>
        <w:rPr/>
      </w:pPr>
      <w:r>
        <w:rPr/>
        <w:t>4.3 Account Entity</w:t>
      </w:r>
    </w:p>
    <w:p>
      <w:pPr>
        <w:pStyle w:val="Normal"/>
        <w:spacing w:before="0" w:after="200"/>
        <w:rPr/>
      </w:pPr>
      <w:r>
        <w:rPr/>
        <w:t>The Account entity is a shared native Company type spanning MN, CR, and FU domains. The Account Entity PRD v1.6 documents all native and custom Account fields across the participating domains. CR domain coverage is currently incomplete (ACT-ISS-002). The following accountType values participate in the CR domain: Client and Partner.</w:t>
      </w:r>
    </w:p>
    <w:p>
      <w:pPr>
        <w:pStyle w:val="Normal"/>
        <w:spacing w:before="0" w:after="200"/>
        <w:rPr/>
      </w:pPr>
      <w:r>
        <w:rPr/>
        <w:t>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(ACT-ISS-001): </w:t>
      </w:r>
      <w:r>
        <w:rPr/>
        <w:t>Account-level client status analogous to partnerStatus. To be established during CR process definition.</w:t>
      </w:r>
    </w:p>
    <w:p>
      <w:pPr>
        <w:pStyle w:val="Normal"/>
        <w:spacing w:before="0" w:after="200"/>
        <w:rPr/>
      </w:pPr>
      <w:r>
        <w:rPr>
          <w:b/>
          <w:bCs/>
        </w:rPr>
        <w:t xml:space="preserve">Geographic Service Area format (ACT-ISS-004 — CLOSED): </w:t>
      </w:r>
      <w:r>
        <w:rPr/>
        <w:t>Restructured from free text to a structured multi-value zip code list during FU-REPORT process definition, 04-30-26. Used for both Partner service areas and Donor/Sponsor funding territories. Master list of Northeast Ohio zip codes to be defined during implementation. CR-MARKETING-ISS-001 remains open to the extent it covers questions beyond field format.</w:t>
      </w:r>
    </w:p>
    <w:p>
      <w:pPr>
        <w:pStyle w:val="Normal"/>
        <w:spacing w:before="0" w:after="200"/>
        <w:rPr/>
      </w:pPr>
      <w:r>
        <w:rPr>
          <w:b/>
          <w:bCs/>
        </w:rPr>
        <w:t xml:space="preserve">Additional Partner-specific fields: </w:t>
      </w:r>
      <w:r>
        <w:rPr/>
        <w:t>As surfaced by CR-PARTNER process documents.</w:t>
      </w:r>
    </w:p>
    <w:p>
      <w:pPr>
        <w:pStyle w:val="Heading2"/>
        <w:spacing w:before="240" w:after="200"/>
        <w:rPr/>
      </w:pPr>
      <w:r>
        <w:rPr/>
        <w:t>4.4 Partnership Agreement Entity</w:t>
      </w:r>
    </w:p>
    <w:p>
      <w:pPr>
        <w:pStyle w:val="Normal"/>
        <w:spacing w:before="0" w:after="200"/>
        <w:rPr/>
      </w:pPr>
      <w:r>
        <w:rPr/>
        <w:t>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pStyle w:val="Normal"/>
        <w:spacing w:before="0" w:after="200"/>
        <w:rPr/>
      </w:pPr>
      <w:r>
        <w:rPr/>
        <w:t>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before="240" w:after="200"/>
        <w:rPr/>
      </w:pPr>
      <w:r>
        <w:rPr/>
        <w:t>4.5 Event Entity</w:t>
      </w:r>
    </w:p>
    <w:p>
      <w:pPr>
        <w:pStyle w:val="Normal"/>
        <w:spacing w:before="0" w:after="200"/>
        <w:rPr/>
      </w:pPr>
      <w:r>
        <w:rPr/>
        <w:t>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pStyle w:val="Normal"/>
        <w:spacing w:before="0" w:after="200"/>
        <w:rPr/>
      </w:pPr>
      <w:r>
        <w:rPr/>
        <w:t>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before="240" w:after="200"/>
        <w:rPr/>
      </w:pPr>
      <w:r>
        <w:rPr/>
        <w:t>4.6 Event Registration Entity</w:t>
      </w:r>
    </w:p>
    <w:p>
      <w:pPr>
        <w:pStyle w:val="Normal"/>
        <w:spacing w:before="0" w:after="200"/>
        <w:rPr/>
      </w:pPr>
      <w:r>
        <w:rPr/>
        <w:t>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pStyle w:val="Normal"/>
        <w:spacing w:before="0" w:after="200"/>
        <w:rPr/>
      </w:pPr>
      <w:r>
        <w:rPr/>
        <w:t>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before="240" w:after="200"/>
        <w:rPr/>
      </w:pPr>
      <w:r>
        <w:rPr/>
        <w:t>4.7 Open Issues Carried Forward</w:t>
      </w:r>
    </w:p>
    <w:p>
      <w:pPr>
        <w:pStyle w:val="Normal"/>
        <w:spacing w:before="0" w:after="200"/>
        <w:rPr/>
      </w:pPr>
      <w:r>
        <w:rPr/>
        <w:t>The following open issues from upstream documents are relevant to the CR domain and will be addressed as CR process documents and Entity PRDs are completed.</w:t>
      </w:r>
    </w:p>
    <w:tbl>
      <w:tblPr>
        <w:tblW w:w="9360" w:type="dxa"/>
        <w:jc w:val="left"/>
        <w:tblInd w:w="0" w:type="dxa"/>
        <w:tblLayout w:type="fixed"/>
        <w:tblCellMar>
          <w:top w:w="80" w:type="dxa"/>
          <w:left w:w="120" w:type="dxa"/>
          <w:bottom w:w="80" w:type="dxa"/>
          <w:right w:w="120" w:type="dxa"/>
        </w:tblCellMar>
      </w:tblPr>
      <w:tblGrid>
        <w:gridCol w:w="1799"/>
        <w:gridCol w:w="2201"/>
        <w:gridCol w:w="5360"/>
      </w:tblGrid>
      <w:tr>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Issue ID</w:t>
            </w:r>
          </w:p>
        </w:tc>
        <w:tc>
          <w:tcPr>
            <w:tcW w:w="22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Source</w:t>
            </w:r>
          </w:p>
        </w:tc>
        <w:tc>
          <w:tcPr>
            <w:tcW w:w="5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prospectStatus field added to the Contact Entity PRD v1.3 paired with the clientStatus field added to the Account Entity PRD v1.2. The two-field model tracks marketing-funnel state on Contact and client-relationship state on Account, answering two different questions without ambiguity.</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lifecycle field not yet defined. To be established during CR-PARTNER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Contact entity. CR domain fields and relationships to be added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CON-ISS-008</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superseded in v1.1 per MR-Y9-EXC-005): How Did You Hear About CBM enum value list finalized as 8 values: Partner Referral, Social Media, CBM Email, Workshop or Event, Search Engine, News or Media, Personal Referral, Other. Values map to CR sub-domains for channel effectiveness rollup reporting (Partner Referral → CR-PARTNER; Workshop or Event → CR-EVENTS; CBM Email, Social Media, Search Engine, News or Media → CR-MARKETING; Personal Referral, Other → organic/unattributed). Reactivation outbound is not rolled up through this field; reactivation effectiveness is measured through Campaign tracking where Campaign.channel = Reactivation. The 8-value list supersedes the v1.0 10-value list (which included Email Marketing, CBM Website, and Returning Client) per MR-Y9-EXC-005 (programs/MR/EXCEPTIONS.md). Resolved in Contact Entity PRD v1.6.</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clientStatus field added to the Account Entity PRD v1.2. The Account-level client lifecycle is now tracked via clientStatus, paired with Contact.prospectStatus on the Contact entity for the marketing-funnel state of individual people.</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Account entity. CR domain fields to be validated and expanded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rPr/>
              <w:t>CLOSED by FU-REPORT process definition session, 04-30-26. Geographic Service Area field format restructured from free text to a structured multi-value zip code list, used for both Partner service areas and Donor/Sponsor funding territories.</w:t>
            </w:r>
          </w:p>
        </w:tc>
      </w:tr>
      <w:tr>
        <w:tc>
          <w:tcPr>
            <w:tcW w:type="dxa" w:w="1799"/>
          </w:tcPr>
          <w:p>
            <w:r>
              <w:t>CR-EVENTS-ISS-001</w:t>
            </w:r>
          </w:p>
        </w:tc>
        <w:tc>
          <w:tcPr>
            <w:tcW w:type="dxa" w:w="2201"/>
          </w:tcPr>
          <w:p>
            <w:r>
              <w:t>CR-EVENTS Sub-Domain Overview</w:t>
            </w:r>
          </w:p>
        </w:tc>
        <w:tc>
          <w:tcPr>
            <w:tcW w:type="dxa" w:w="5360"/>
          </w:tcPr>
          <w:p>
            <w:r>
              <w:t>Event feedback surveys deferred to the future Survey Service definition. Event feedback data collection and analysis are out of scope for CR-EVENTS v1.0. To be addressed when the Survey Service is defined as a Cross-Domain Service PRD (Phase 6).</w:t>
            </w:r>
          </w:p>
        </w:tc>
      </w:tr>
    </w:tbl>
    <w:p>
      <w:pPr>
        <w:pStyle w:val="Normal"/>
        <w:spacing w:before="0" w:after="200"/>
        <w:rPr/>
      </w:pPr>
      <w:r>
        <w:rPr/>
      </w:r>
    </w:p>
    <w:p>
      <w:pPr>
        <w:pStyle w:val="Heading1"/>
        <w:spacing w:before="240" w:after="200"/>
        <w:rPr/>
      </w:pPr>
      <w:r>
        <w:rPr/>
        <w:t>5. Updates to Prior Documents</w:t>
      </w:r>
    </w:p>
    <w:tbl>
      <w:tblPr>
        <w:tblW w:w="9360" w:type="dxa"/>
        <w:jc w:val="left"/>
        <w:tblInd w:w="0" w:type="dxa"/>
        <w:tblLayout w:type="fixed"/>
        <w:tblCellMar>
          <w:top w:w="80" w:type="dxa"/>
          <w:left w:w="120" w:type="dxa"/>
          <w:bottom w:w="80" w:type="dxa"/>
          <w:right w:w="120" w:type="dxa"/>
        </w:tblCellMar>
      </w:tblPr>
      <w:tblGrid>
        <w:gridCol w:w="2199"/>
        <w:gridCol w:w="3001"/>
        <w:gridCol w:w="41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Document</w:t>
            </w:r>
          </w:p>
        </w:tc>
        <w:tc>
          <w:tcPr>
            <w:tcW w:w="3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Update Needed</w:t>
            </w:r>
          </w:p>
        </w:tc>
        <w:tc>
          <w:tcPr>
            <w:tcW w:w="41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2199" w:type="dxa"/>
            <w:tcBorders>
              <w:top w:val="single" w:sz="2" w:space="0" w:color="CCCCCC"/>
              <w:left w:val="single" w:sz="2" w:space="0" w:color="CCCCCC"/>
              <w:bottom w:val="single" w:sz="2" w:space="0" w:color="CCCCCC"/>
              <w:right w:val="single" w:sz="2" w:space="0" w:color="CCCCCC"/>
            </w:tcBorders>
          </w:tcPr>
          <w:p>
            <w:r>
              <w:t>CBM-Master-PRD.docx v2.2 (applied in v2.3)</w:t>
            </w:r>
          </w:p>
        </w:tc>
        <w:tc>
          <w:tcPr>
            <w:tcW w:w="3001" w:type="dxa"/>
            <w:tcBorders>
              <w:top w:val="single" w:sz="2" w:space="0" w:color="CCCCCC"/>
              <w:left w:val="single" w:sz="2" w:space="0" w:color="CCCCCC"/>
              <w:bottom w:val="single" w:sz="2" w:space="0" w:color="CCCCCC"/>
              <w:right w:val="single" w:sz="2" w:space="0" w:color="CCCCCC"/>
            </w:tcBorders>
          </w:tcPr>
          <w:p>
            <w:r>
              <w:t>Add MST-PER-013 (Client) to CR domain persona list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CBM-Master-PRD.docx v2.3 (applied in v2.4)</w:t>
            </w:r>
          </w:p>
        </w:tc>
        <w:tc>
          <w:tcPr>
            <w:tcW w:w="3001" w:type="dxa"/>
            <w:tcBorders>
              <w:top w:val="single" w:sz="2" w:space="0" w:color="CCCCCC"/>
              <w:left w:val="single" w:sz="2" w:space="0" w:color="CCCCCC"/>
              <w:bottom w:val="single" w:sz="2" w:space="0" w:color="CCCCCC"/>
              <w:right w:val="single" w:sz="2" w:space="0" w:color="CCCCCC"/>
            </w:tcBorders>
          </w:tcPr>
          <w:p>
            <w:r>
              <w:t xml:space="preserve">Add Section 5.4 referencing the Universal Contact-Creation Rules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formalized 5 universal rules for Contact creation that apply CRM-wide across all domains. The Master PRD Section 5 (System Scope) needed a reference so other domains know to follow the principle. Applied as Section 5.4 in Master PRD v2.4.</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Contact-Entity-PRD.docx v1.2 (applied in v1.3)</w:t>
            </w:r>
          </w:p>
        </w:tc>
        <w:tc>
          <w:tcPr>
            <w:tcW w:w="3001" w:type="dxa"/>
            <w:tcBorders>
              <w:top w:val="single" w:sz="2" w:space="0" w:color="CCCCCC"/>
              <w:left w:val="single" w:sz="2" w:space="0" w:color="CCCCCC"/>
              <w:bottom w:val="single" w:sz="2" w:space="0" w:color="CCCCCC"/>
              <w:right w:val="single" w:sz="2" w:space="0" w:color="CCCCCC"/>
            </w:tcBorders>
          </w:tcPr>
          <w:p>
            <w:r>
              <w:t xml:space="preserve">Add 8 new fields, finalize howDidYouHearAboutCbm enum, update narrative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8 new fields for the Contact entity (prospectStatus, sourceAttributionDetails, emailOptOut, smsOptOut, plus 4 marketing engagement roll-ups) and finalized the 10-value howDidYouHearAboutCbm enum. Applied as Section 3.5 in Contact Entity PRD v1.3, which also closes CON-ISS-001 and CON-ISS-008.</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Account-Entity-PRD.docx v1.1 (applied in v1.2)</w:t>
            </w:r>
          </w:p>
        </w:tc>
        <w:tc>
          <w:tcPr>
            <w:tcW w:w="3001" w:type="dxa"/>
            <w:tcBorders>
              <w:top w:val="single" w:sz="2" w:space="0" w:color="CCCCCC"/>
              <w:left w:val="single" w:sz="2" w:space="0" w:color="CCCCCC"/>
              <w:bottom w:val="single" w:sz="2" w:space="0" w:color="CCCCCC"/>
              <w:right w:val="single" w:sz="2" w:space="0" w:color="CCCCCC"/>
            </w:tcBorders>
          </w:tcPr>
          <w:p>
            <w:r>
              <w:t xml:space="preserve">Add clientStatus field, document native website field as matching signal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a new clientStatus field tracking the client-relationship lifecycle at the Account level, paired with Contact.prospectStatus. The Sub-Domain Overview also formalized that the native Account.website field is the primary signal for prospect-Contact-to-Account matching. Applied in Account Entity PRD v1.2, which closes ACT-ISS-001.</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MN-INTAKE.docx v2.2 (applied in v2.3)</w:t>
            </w:r>
          </w:p>
        </w:tc>
        <w:tc>
          <w:tcPr>
            <w:tcW w:w="3001" w:type="dxa"/>
            <w:tcBorders>
              <w:top w:val="single" w:sz="2" w:space="0" w:color="CCCCCC"/>
              <w:left w:val="single" w:sz="2" w:space="0" w:color="CCCCCC"/>
              <w:bottom w:val="single" w:sz="2" w:space="0" w:color="CCCCCC"/>
              <w:right w:val="single" w:sz="2" w:space="0" w:color="CCCCCC"/>
            </w:tcBorders>
          </w:tcPr>
          <w:p>
            <w:r>
              <w:t xml:space="preserve">Add 4 new requirements for prospect-to-applicant handoff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established that prospect Contacts exist in the CRM before application, requiring MN-INTAKE to handle the prospect-Contact-already-exists case, transition Account.clientStatus and Contact.prospectStatus at application processing time, and respect the layered authority policy when writing howDidYouHearAboutCbm. Applied as MN-INTAKE-REQ-010 through MN-INTAKE-REQ-013 in MN-INTAKE v2.3, which closes MN-INTAKE-ISS-002.</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CBM-Entity-Inventory.docx v1.2 (pending)</w:t>
            </w:r>
          </w:p>
        </w:tc>
        <w:tc>
          <w:tcPr>
            <w:tcW w:w="3001" w:type="dxa"/>
            <w:tcBorders>
              <w:top w:val="single" w:sz="2" w:space="0" w:color="CCCCCC"/>
              <w:left w:val="single" w:sz="2" w:space="0" w:color="CCCCCC"/>
              <w:bottom w:val="single" w:sz="2" w:space="0" w:color="CCCCCC"/>
              <w:right w:val="single" w:sz="2" w:space="0" w:color="CCCCCC"/>
            </w:tcBorders>
          </w:tcPr>
          <w:p>
            <w:r>
              <w:t xml:space="preserve">Resolve Campaign row; add Campaign Group and Campaign Engagement rows (pending)</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three new custom Base entities owned by CR (Campaign, Campaign Group, Campaign Engagement). The existing Campaign row in the Entity Inventory has TBD type/status that should be resolved to custom Base, owned by CR. Two new rows should be added for Campaign Group and Campaign Engagement. All three Entity PRDs are deferred to Phase 2b after CR-MARKETING-CAMPAIGNS process definition.</w:t>
            </w:r>
          </w:p>
        </w:tc>
      </w:tr>
      <w:tr>
        <w:tc>
          <w:tcPr>
            <w:tcW w:type="dxa" w:w="2199"/>
          </w:tcPr>
          <w:p>
            <w:r>
              <w:t>Contact-Entity-PRD.docx v1.4 (applied in v1.5)</w:t>
            </w:r>
          </w:p>
        </w:tc>
        <w:tc>
          <w:tcPr>
            <w:tcW w:type="dxa" w:w="3001"/>
          </w:tcPr>
          <w:p>
            <w:r>
              <w:t>Add presenterBio, presenterTopics, lastConversionPushSentAt, lastReactivationSentAt fields; update Section 5.7 narrative (applied)</w:t>
            </w:r>
          </w:p>
        </w:tc>
        <w:tc>
          <w:tcPr>
            <w:tcW w:type="dxa" w:w="4160"/>
          </w:tcPr>
          <w:p>
            <w:r>
              <w:t>CR-EVENTS Sub-Domain Overview v1.0 surfaced two presenter-specific fields. CR-EVENTS-CONVERT v1.0 and CR-REACTIVATE Sub-Domain Overview v1.0 surfaced outreach tracking timestamp fields.</w:t>
            </w:r>
          </w:p>
        </w:tc>
      </w:tr>
      <w:tr>
        <w:tc>
          <w:tcPr>
            <w:tcW w:type="dxa" w:w="2199"/>
          </w:tcPr>
          <w:p>
            <w:r>
              <w:t>Account-Entity-PRD.docx v1.4 (applied in v1.5)</w:t>
            </w:r>
          </w:p>
        </w:tc>
        <w:tc>
          <w:tcPr>
            <w:tcW w:type="dxa" w:w="3001"/>
          </w:tcPr>
          <w:p>
            <w:r>
              <w:t>Add applicantSince field (applied)</w:t>
            </w:r>
          </w:p>
        </w:tc>
        <w:tc>
          <w:tcPr>
            <w:tcW w:type="dxa" w:w="4160"/>
          </w:tcPr>
          <w:p>
            <w:r>
              <w:t>CR-EVENTS-CONVERT v1.0 introduced applicantSince as the application-side anchor for conversion window calculation, system-populated by MN-INTAKE.</w:t>
            </w:r>
          </w:p>
        </w:tc>
      </w:tr>
      <w:tr>
        <w:tc>
          <w:tcPr>
            <w:tcW w:type="dxa" w:w="2199"/>
          </w:tcPr>
          <w:p>
            <w:r>
              <w:t>MN-INTAKE.docx v2.3 (applied in v2.4)</w:t>
            </w:r>
          </w:p>
        </w:tc>
        <w:tc>
          <w:tcPr>
            <w:tcW w:type="dxa" w:w="3001"/>
          </w:tcPr>
          <w:p>
            <w:r>
              <w:t>Extend REQ-011 to populate Account.applicantSince (applied)</w:t>
            </w:r>
          </w:p>
        </w:tc>
        <w:tc>
          <w:tcPr>
            <w:tcW w:type="dxa" w:w="4160"/>
          </w:tcPr>
          <w:p>
            <w:r>
              <w:t>CR-EVENTS-CONVERT v1.0 requires MN-INTAKE to system-populate Account.applicantSince with the current datetime when clientStatus transitions to Applicant.</w:t>
            </w:r>
          </w:p>
        </w:tc>
      </w:tr>
      <w:tr>
        <w:tc>
          <w:tcPr>
            <w:tcW w:type="dxa" w:w="2199"/>
          </w:tcPr>
          <w:p>
            <w:r>
              <w:t>Contact-Entity-PRD.docx v1.5 (applied in v1.6)</w:t>
            </w:r>
          </w:p>
        </w:tc>
        <w:tc>
          <w:tcPr>
            <w:tcW w:type="dxa" w:w="3001"/>
          </w:tcPr>
          <w:p>
            <w:r>
              <w:t>Finalize 8-value howDidYouHearAboutCbm enum; enumerate mentoringFocusAreas, skillsExpertiseTags, fluentLanguages; close CON-ISS-005 through CON-ISS-007 (applied)</w:t>
            </w:r>
          </w:p>
        </w:tc>
        <w:tc>
          <w:tcPr>
            <w:tcW w:type="dxa" w:w="4160"/>
          </w:tcPr>
          <w:p>
            <w:r>
              <w:t>The MR Phase 9 YAML generation session (MR-Y9-EXC-005, programs/MR/EXCEPTIONS.md) revised howDidYouHearAboutCbm from the 10-value list originally locked in CR-MARKETING SDO v1.0 to an 8-value list (Partner Referral, Social Media, CBM Email, Workshop or Event, Search Engine, News or Media, Personal Referral, Other). Email Marketing was renamed to CBM Email; CBM Website and Returning Client were removed. Reactivation outbound is now tracked via Campaign.channel = Reactivation rather than through the enum. Applied in Contact Entity PRD v1.6 alongside enumeration of the three multiEnum value lists (42 mentoringFocusAreas, 33 skillsExpertiseTags, 36 fluentLanguages) and closure of CON-ISS-005 through CON-ISS-007.</w:t>
            </w:r>
          </w:p>
        </w:tc>
      </w:tr>
      <w:tr>
        <w:tc>
          <w:tcPr>
            <w:tcW w:type="dxa" w:w="2199"/>
          </w:tcPr>
          <w:p>
            <w:r>
              <w:t>Account-Entity-PRD.docx v1.5 (applied in v1.6)</w:t>
            </w:r>
          </w:p>
        </w:tc>
        <w:tc>
          <w:tcPr>
            <w:tcW w:type="dxa" w:w="3001"/>
          </w:tcPr>
          <w:p>
            <w:r>
              <w:t>Enumerate 20 NAICS sectors explicitly (applied)</w:t>
            </w:r>
          </w:p>
        </w:tc>
        <w:tc>
          <w:tcPr>
            <w:tcW w:type="dxa" w:w="4160"/>
          </w:tcPr>
          <w:p>
            <w:r>
              <w:t>The MR Phase 9 YAML generation session (MR-Y9-EXC-001) required the Account entity's industry sector field to be enumerated rather than free text. Applied in Account Entity PRD v1.6 as an explicit 20-value NAICS sector list.</w:t>
            </w:r>
          </w:p>
        </w:tc>
      </w:tr>
      <w:tr>
        <w:tc>
          <w:tcPr>
            <w:tcW w:type="dxa" w:w="2199"/>
          </w:tcPr>
          <w:p>
            <w:r>
              <w:t>CBM-SubDomain-Overview-Marketing.docx v1.2 (applied in v1.3)</w:t>
            </w:r>
          </w:p>
        </w:tc>
        <w:tc>
          <w:tcPr>
            <w:tcW w:type="dxa" w:w="3001"/>
          </w:tcPr>
          <w:p>
            <w:r>
              <w:t>Revise channel rollup table for 8-value howDidYouHearAboutCbm list (applied)</w:t>
            </w:r>
          </w:p>
        </w:tc>
        <w:tc>
          <w:tcPr>
            <w:tcW w:type="dxa" w:w="4160"/>
          </w:tcPr>
          <w:p>
            <w:r>
              <w:t>Channel rollup table updated: CBM Website and Returning Client rows removed; Email Marketing renamed to CBM Email; rollup to CR sub-domains restated (Partner Referral → CR-PARTNER; Workshop or Event → CR-EVENTS; CBM Email, Social Media, Search Engine, News or Media → CR-MARKETING; Personal Referral, Other → organic/unattributed). Reactivation outbound is not rolled up through howDidYouHearAboutCbm.</w:t>
            </w:r>
          </w:p>
        </w:tc>
      </w:tr>
    </w:tbl>
    <w:p>
      <w:pPr>
        <w:pStyle w:val="Normal"/>
        <w:spacing w:before="0" w:after="200"/>
        <w:rPr/>
      </w:pPr>
      <w:r>
        <w:rPr/>
      </w:r>
    </w:p>
    <w:p>
      <w:pPr>
        <w:pStyle w:val="Heading1"/>
        <w:spacing w:before="240" w:after="200"/>
        <w:rPr/>
      </w:pPr>
      <w:r>
        <w:rPr/>
        <w:t>6. Open Issues</w:t>
      </w:r>
    </w:p>
    <w:p>
      <w:pPr>
        <w:pStyle w:val="Normal"/>
        <w:spacing w:before="0" w:after="200"/>
        <w:rPr/>
      </w:pPr>
      <w:r>
        <w:rPr/>
        <w:t>No new open issues were identified during the Domain Overview session. All open issues relevant to the CR domain are carried forward from upstream documents and listed in Section 4.7.</w:t>
      </w:r>
    </w:p>
    <w:p>
      <w:pPr>
        <w:pStyle w:val="Heading1"/>
        <w:spacing w:before="240" w:after="200"/>
        <w:rPr/>
      </w:pPr>
      <w:r>
        <w:rPr/>
        <w:t>7. Interview Transcript</w:t>
      </w:r>
    </w:p>
    <w:p>
      <w:pPr>
        <w:pStyle w:val="Normal"/>
        <w:spacing w:before="0" w:after="200"/>
        <w:rPr/>
      </w:pPr>
      <w:r>
        <w:rPr>
          <w:b/>
          <w:bCs/>
          <w:sz w:val="24"/>
          <w:szCs w:val="24"/>
        </w:rPr>
        <w:t>Persona Scoping</w:t>
      </w:r>
    </w:p>
    <w:p>
      <w:pPr>
        <w:pStyle w:val="Normal"/>
        <w:spacing w:before="0" w:after="200"/>
        <w:rPr/>
      </w:pPr>
      <w:r>
        <w:rPr>
          <w:b/>
          <w:bCs/>
        </w:rPr>
        <w:t xml:space="preserve">Q: </w:t>
      </w:r>
      <w:r>
        <w:rPr/>
        <w:t>The Master PRD’s CR “Personas Involved” lists 6 personas but does not include MST-PER-013 (Client). However, the Client persona definition says “Primary Domains: Mentoring, Client Recruiting.” Should the Client persona be added to the CR domain?</w:t>
      </w:r>
    </w:p>
    <w:p>
      <w:pPr>
        <w:pStyle w:val="Normal"/>
        <w:spacing w:before="0" w:after="200"/>
        <w:rPr/>
      </w:pPr>
      <w:r>
        <w:rPr>
          <w:b/>
          <w:bCs/>
        </w:rPr>
        <w:t xml:space="preserve">A: </w:t>
      </w:r>
      <w:r>
        <w:rPr/>
        <w:t>Yes, only because the goal of the process is to locate and recruit clients.</w:t>
      </w:r>
    </w:p>
    <w:p>
      <w:pPr>
        <w:pStyle w:val="Normal"/>
        <w:spacing w:before="0" w:after="200"/>
        <w:rPr/>
      </w:pPr>
      <w:r>
        <w:rPr>
          <w:b/>
          <w:bCs/>
        </w:rPr>
        <w:t xml:space="preserve">Decision: </w:t>
      </w:r>
      <w:r>
        <w:rPr/>
        <w:t>MST-PER-013 (Client) added as the 7th CR domain persona. Master PRD update needed to add Client to the CR persona list.</w:t>
      </w:r>
    </w:p>
    <w:p>
      <w:pPr>
        <w:pStyle w:val="Normal"/>
        <w:spacing w:before="0" w:after="200"/>
        <w:rPr/>
      </w:pPr>
      <w:r>
        <w:rPr>
          <w:b/>
          <w:bCs/>
          <w:sz w:val="24"/>
          <w:szCs w:val="24"/>
        </w:rPr>
        <w:t>Process Inventory — CR-PARTNER</w:t>
      </w:r>
    </w:p>
    <w:p>
      <w:pPr>
        <w:pStyle w:val="Normal"/>
        <w:spacing w:before="0" w:after="200"/>
        <w:rPr/>
      </w:pPr>
      <w:r>
        <w:rPr>
          <w:b/>
          <w:bCs/>
        </w:rPr>
        <w:t xml:space="preserve">Q: </w:t>
      </w:r>
      <w:r>
        <w:rPr/>
        <w:t>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CR-PARTNER sub-domain has two processes: CR-PARTNER-PROSPECT and CR-PARTNER-MANAGE.</w:t>
      </w:r>
    </w:p>
    <w:p>
      <w:pPr>
        <w:pStyle w:val="Normal"/>
        <w:spacing w:before="0" w:after="200"/>
        <w:rPr/>
      </w:pPr>
      <w:r>
        <w:rPr>
          <w:b/>
          <w:bCs/>
          <w:sz w:val="24"/>
          <w:szCs w:val="24"/>
        </w:rPr>
        <w:t>Process Inventory — CR-MARKETING</w:t>
      </w:r>
    </w:p>
    <w:p>
      <w:pPr>
        <w:pStyle w:val="Normal"/>
        <w:spacing w:before="0" w:after="200"/>
        <w:rPr/>
      </w:pPr>
      <w:r>
        <w:rPr>
          <w:b/>
          <w:bCs/>
        </w:rPr>
        <w:t xml:space="preserve">Q: </w:t>
      </w:r>
      <w:r>
        <w:rPr/>
        <w:t>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CR-MARKETING sub-domain has two processes: CR-MARKETING-CONTACTS and CR-MARKETING-CAMPAIGNS.</w:t>
      </w:r>
    </w:p>
    <w:p>
      <w:pPr>
        <w:pStyle w:val="Normal"/>
        <w:spacing w:before="0" w:after="200"/>
        <w:rPr/>
      </w:pPr>
      <w:r>
        <w:rPr>
          <w:b/>
          <w:bCs/>
          <w:sz w:val="24"/>
          <w:szCs w:val="24"/>
        </w:rPr>
        <w:t>Process Inventory — CR-EVENTS</w:t>
      </w:r>
    </w:p>
    <w:p>
      <w:pPr>
        <w:pStyle w:val="Normal"/>
        <w:spacing w:before="0" w:after="200"/>
        <w:rPr/>
      </w:pPr>
      <w:r>
        <w:rPr>
          <w:b/>
          <w:bCs/>
        </w:rPr>
        <w:t xml:space="preserve">Q: </w:t>
      </w:r>
      <w:r>
        <w:rPr/>
        <w:t>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pStyle w:val="Normal"/>
        <w:spacing w:before="0" w:after="200"/>
        <w:rPr/>
      </w:pPr>
      <w:r>
        <w:rPr>
          <w:b/>
          <w:bCs/>
        </w:rPr>
        <w:t xml:space="preserve">A: </w:t>
      </w:r>
      <w:r>
        <w:rPr/>
        <w:t>Two processes approved.</w:t>
      </w:r>
    </w:p>
    <w:p>
      <w:pPr>
        <w:pStyle w:val="Normal"/>
        <w:spacing w:before="0" w:after="200"/>
        <w:rPr/>
      </w:pPr>
      <w:r>
        <w:rPr>
          <w:b/>
          <w:bCs/>
        </w:rPr>
        <w:t xml:space="preserve">Decision: </w:t>
      </w:r>
      <w:r>
        <w:rPr/>
        <w:t>CR-EVENTS sub-domain has two processes: CR-EVENTS-MANAGE and CR-EVENTS-CONVERT.</w:t>
      </w:r>
    </w:p>
    <w:p>
      <w:pPr>
        <w:pStyle w:val="Normal"/>
        <w:spacing w:before="0" w:after="200"/>
        <w:rPr/>
      </w:pPr>
      <w:r>
        <w:rPr>
          <w:b/>
          <w:bCs/>
          <w:sz w:val="24"/>
          <w:szCs w:val="24"/>
        </w:rPr>
        <w:t>Process Inventory — CR-REACTIVATE</w:t>
      </w:r>
    </w:p>
    <w:p>
      <w:pPr>
        <w:pStyle w:val="Normal"/>
        <w:spacing w:before="0" w:after="200"/>
        <w:rPr/>
      </w:pPr>
      <w:r>
        <w:rPr>
          <w:b/>
          <w:bCs/>
        </w:rPr>
        <w:t xml:space="preserve">Q: </w:t>
      </w:r>
      <w:r>
        <w:rPr/>
        <w:t>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pStyle w:val="Normal"/>
        <w:spacing w:before="0" w:after="200"/>
        <w:rPr/>
      </w:pPr>
      <w:r>
        <w:rPr>
          <w:b/>
          <w:bCs/>
        </w:rPr>
        <w:t xml:space="preserve">A: </w:t>
      </w:r>
      <w:r>
        <w:rPr/>
        <w:t>One process approved.</w:t>
      </w:r>
    </w:p>
    <w:p>
      <w:pPr>
        <w:pStyle w:val="Normal"/>
        <w:spacing w:before="0" w:after="200"/>
        <w:rPr/>
      </w:pPr>
      <w:r>
        <w:rPr>
          <w:b/>
          <w:bCs/>
        </w:rPr>
        <w:t xml:space="preserve">Decision: </w:t>
      </w:r>
      <w:r>
        <w:rPr/>
        <w:t>CR-REACTIVATE sub-domain has one process: CR-REACTIVATE-OUTREACH.</w:t>
      </w:r>
    </w:p>
    <w:p>
      <w:pPr>
        <w:pStyle w:val="Normal"/>
        <w:spacing w:before="0" w:after="200"/>
        <w:rPr/>
      </w:pPr>
      <w:r>
        <w:rPr>
          <w:b/>
          <w:bCs/>
          <w:sz w:val="24"/>
          <w:szCs w:val="24"/>
        </w:rPr>
        <w:t>Dependency Ordering</w:t>
      </w:r>
    </w:p>
    <w:p>
      <w:pPr>
        <w:pStyle w:val="Normal"/>
        <w:spacing w:before="0" w:after="200"/>
        <w:rPr/>
      </w:pPr>
      <w:r>
        <w:rPr>
          <w:b/>
          <w:bCs/>
        </w:rPr>
        <w:t xml:space="preserve">Q: </w:t>
      </w:r>
      <w:r>
        <w:rPr/>
        <w:t>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pStyle w:val="Normal"/>
        <w:spacing w:before="0" w:after="200"/>
        <w:rPr/>
      </w:pPr>
      <w:r>
        <w:rPr>
          <w:b/>
          <w:bCs/>
        </w:rPr>
        <w:t xml:space="preserve">A: </w:t>
      </w:r>
      <w:r>
        <w:rPr/>
        <w:t>Approved.</w:t>
      </w:r>
    </w:p>
    <w:p>
      <w:pPr>
        <w:pStyle w:val="Normal"/>
        <w:spacing w:before="0" w:after="200"/>
        <w:rPr/>
      </w:pPr>
      <w:r>
        <w:rPr>
          <w:b/>
          <w:bCs/>
        </w:rPr>
        <w:t xml:space="preserve">Decision: </w:t>
      </w:r>
      <w:r>
        <w:rPr/>
        <w:t>Production order confirmed as proposed: 1) CR-PARTNER-PROSPECT, 2) CR-PARTNER-MANAGE, 3) CR-MARKETING-CONTACTS, 4) CR-MARKETING-CAMPAIGNS, 5) CR-EVENTS-MANAGE, 6) CR-EVENTS-CONVERT, 7) CR-REACTIVATE-OUTREACH.</w:t>
      </w:r>
    </w:p>
    <w:p>
      <w:pPr>
        <w:pStyle w:val="Normal"/>
        <w:spacing w:before="0" w:after="200"/>
        <w:rPr/>
      </w:pPr>
      <w:r>
        <w:rPr>
          <w:b/>
          <w:bCs/>
          <w:sz w:val="24"/>
          <w:szCs w:val="24"/>
        </w:rPr>
        <w:t>Cross-Sub-Domain Handoffs</w:t>
      </w:r>
    </w:p>
    <w:p>
      <w:pPr>
        <w:pStyle w:val="Normal"/>
        <w:spacing w:before="0" w:after="200"/>
        <w:rPr/>
      </w:pPr>
      <w:r>
        <w:rPr>
          <w:b/>
          <w:bCs/>
        </w:rPr>
        <w:t xml:space="preserve">Q: </w:t>
      </w:r>
      <w:r>
        <w:rPr/>
        <w:t>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pStyle w:val="Normal"/>
        <w:spacing w:before="0" w:after="200"/>
        <w:rPr/>
      </w:pPr>
      <w:r>
        <w:rPr>
          <w:b/>
          <w:bCs/>
        </w:rPr>
        <w:t xml:space="preserve">A: </w:t>
      </w:r>
      <w:r>
        <w:rPr/>
        <w:t>Map confirmed as complete.</w:t>
      </w:r>
    </w:p>
    <w:p>
      <w:pPr>
        <w:pStyle w:val="Normal"/>
        <w:spacing w:before="0" w:after="200"/>
        <w:rPr/>
      </w:pPr>
      <w:r>
        <w:rPr>
          <w:b/>
          <w:bCs/>
          <w:sz w:val="24"/>
          <w:szCs w:val="24"/>
        </w:rPr>
        <w:t>CR to MN-INTAKE Boundary</w:t>
      </w:r>
    </w:p>
    <w:p>
      <w:pPr>
        <w:pStyle w:val="Normal"/>
        <w:spacing w:before="0" w:after="200"/>
        <w:rPr/>
      </w:pPr>
      <w:r>
        <w:rPr>
          <w:b/>
          <w:bCs/>
        </w:rPr>
        <w:t xml:space="preserve">Q: </w:t>
      </w:r>
      <w:r>
        <w:rPr/>
        <w:t>Is the application submission the correct boundary between CR and MN? Once submitted, MN-INTAKE owns the lifecycle. CR’s post-submission role is limited to application source attribution. Does CR retain any ongoing role after application submission?</w:t>
      </w:r>
    </w:p>
    <w:p>
      <w:pPr>
        <w:pStyle w:val="Normal"/>
        <w:spacing w:before="0" w:after="200"/>
        <w:rPr/>
      </w:pPr>
      <w:r>
        <w:rPr>
          <w:b/>
          <w:bCs/>
        </w:rPr>
        <w:t xml:space="preserve">A: </w:t>
      </w:r>
      <w:r>
        <w:rPr/>
        <w:t>That is the correct handoff boundary.</w:t>
      </w:r>
    </w:p>
    <w:p>
      <w:pPr>
        <w:pStyle w:val="Normal"/>
        <w:spacing w:before="0" w:after="200"/>
        <w:rPr/>
      </w:pPr>
      <w:r>
        <w:rPr>
          <w:b/>
          <w:bCs/>
        </w:rPr>
        <w:t xml:space="preserve">Decision: </w:t>
      </w:r>
      <w:r>
        <w:rPr/>
        <w:t>Application submission is the definitive boundary between CR and MN domains. CR retains no role post-submission except source attribution.</w:t>
      </w:r>
    </w:p>
    <w:p>
      <w:pPr>
        <w:pStyle w:val="Normal"/>
        <w:spacing w:before="0" w:after="200"/>
        <w:rPr/>
      </w:pPr>
      <w:r>
        <w:rPr>
          <w:b/>
          <w:bCs/>
          <w:sz w:val="24"/>
          <w:szCs w:val="24"/>
        </w:rPr>
        <w:t>Shared Audience Strategy and Consolidated Oversight</w:t>
      </w:r>
    </w:p>
    <w:p>
      <w:pPr>
        <w:pStyle w:val="Normal"/>
        <w:spacing w:before="0" w:after="200"/>
        <w:rPr/>
      </w:pPr>
      <w:r>
        <w:rPr>
          <w:b/>
          <w:bCs/>
        </w:rPr>
        <w:t xml:space="preserve">Q: </w:t>
      </w:r>
      <w:r>
        <w:rPr/>
        <w:t>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pStyle w:val="Normal"/>
        <w:spacing w:before="0" w:after="200"/>
        <w:rPr/>
      </w:pPr>
      <w:r>
        <w:rPr>
          <w:b/>
          <w:bCs/>
        </w:rPr>
        <w:t xml:space="preserve">A: </w:t>
      </w:r>
      <w:r>
        <w:rPr/>
        <w:t>Confirmed as complete.</w:t>
      </w:r>
    </w:p>
    <w:p>
      <w:pPr>
        <w:pStyle w:val="Normal"/>
        <w:spacing w:before="0" w:after="200"/>
        <w:rPr/>
      </w:pPr>
      <w:r>
        <w:rPr>
          <w:b/>
          <w:bCs/>
          <w:sz w:val="24"/>
          <w:szCs w:val="24"/>
        </w:rPr>
        <w:t>Partner Cross-Sub-Domain Tracking</w:t>
      </w:r>
    </w:p>
    <w:p>
      <w:pPr>
        <w:pStyle w:val="Normal"/>
        <w:spacing w:before="0" w:after="200"/>
        <w:rPr/>
      </w:pPr>
      <w:r>
        <w:rPr>
          <w:b/>
          <w:bCs/>
        </w:rPr>
        <w:t xml:space="preserve">Q: </w:t>
      </w:r>
      <w:r>
        <w:rPr/>
        <w:t>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pStyle w:val="Normal"/>
        <w:spacing w:before="0" w:after="200"/>
        <w:rPr/>
      </w:pPr>
      <w:r>
        <w:rPr>
          <w:b/>
          <w:bCs/>
        </w:rPr>
        <w:t xml:space="preserve">A: </w:t>
      </w:r>
      <w:r>
        <w:rPr/>
        <w:t>Confirmed. Reference approach accepted.</w:t>
      </w:r>
    </w:p>
    <w:p>
      <w:pPr>
        <w:pStyle w:val="Normal"/>
        <w:spacing w:before="0" w:after="200"/>
        <w:rPr/>
      </w:pPr>
      <w:r>
        <w:rPr>
          <w:b/>
          <w:bCs/>
          <w:sz w:val="24"/>
          <w:szCs w:val="24"/>
        </w:rPr>
        <w:t>Deferred Entity Fields</w:t>
      </w:r>
    </w:p>
    <w:p>
      <w:pPr>
        <w:pStyle w:val="Normal"/>
        <w:spacing w:before="0" w:after="200"/>
        <w:rPr/>
      </w:pPr>
      <w:r>
        <w:rPr>
          <w:b/>
          <w:bCs/>
        </w:rPr>
        <w:t xml:space="preserve">Q: </w:t>
      </w:r>
      <w:r>
        <w:rPr/>
        <w:t>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pStyle w:val="Normal"/>
        <w:spacing w:before="0" w:after="200"/>
        <w:rPr/>
      </w:pPr>
      <w:r>
        <w:rPr>
          <w:b/>
          <w:bCs/>
        </w:rPr>
        <w:t xml:space="preserve">A: </w:t>
      </w:r>
      <w:r>
        <w:rPr/>
        <w:t>Confirmed as complete.</w:t>
      </w:r>
    </w:p>
    <w:p>
      <w:pPr>
        <w:pStyle w:val="Normal"/>
        <w:spacing w:before="0" w:after="200"/>
        <w:rPr/>
      </w:pPr>
      <w:r>
        <w:rPr>
          <w:b/>
          <w:bCs/>
          <w:sz w:val="24"/>
          <w:szCs w:val="24"/>
        </w:rPr>
        <w:t>Persona Scoping Confirmation</w:t>
      </w:r>
    </w:p>
    <w:p>
      <w:pPr>
        <w:pStyle w:val="Normal"/>
        <w:spacing w:before="0" w:after="200"/>
        <w:rPr/>
      </w:pPr>
      <w:r>
        <w:rPr>
          <w:b/>
          <w:bCs/>
        </w:rPr>
        <w:t xml:space="preserve">Q: </w:t>
      </w:r>
      <w:r>
        <w:rPr/>
        <w:t>Final persona scoping presented for confirmation: 7 personas with domain-specific roles. One Master PRD update identified (add MST-PER-013). Ready to produce document?</w:t>
      </w:r>
    </w:p>
    <w:p>
      <w:pPr>
        <w:pStyle w:val="Normal"/>
        <w:spacing w:before="0" w:after="200"/>
        <w:rPr/>
      </w:pPr>
      <w:r>
        <w:rPr>
          <w:b/>
          <w:bCs/>
        </w:rPr>
        <w:t xml:space="preserve">A: </w:t>
      </w:r>
      <w:r>
        <w:rPr/>
        <w:t>Confirmed. Ready to produce.</w:t>
      </w:r>
    </w:p>
    <w:p>
      <w:pPr>
        <w:pStyle w:val="Heading1"/>
        <w:spacing w:before="240" w:after="200"/>
        <w:rPr/>
      </w:pPr>
      <w:r>
        <w:rPr/>
        <w:t>8. Change Log</w:t>
      </w:r>
    </w:p>
    <w:p>
      <w:pPr>
        <w:pStyle w:val="Normal"/>
        <w:spacing w:before="0" w:after="200"/>
        <w:rPr/>
      </w:pPr>
      <w:r>
        <w:rPr/>
        <w:t>Revision history for this document. The Last Updated value in the metadata table reflects the most recent entry below.</w:t>
      </w:r>
    </w:p>
    <w:tbl>
      <w:tblPr>
        <w:tblW w:w="9360" w:type="dxa"/>
        <w:jc w:val="left"/>
        <w:tblInd w:w="0" w:type="dxa"/>
        <w:tblLayout w:type="fixed"/>
        <w:tblCellMar>
          <w:top w:w="80" w:type="dxa"/>
          <w:left w:w="120" w:type="dxa"/>
          <w:bottom w:w="80" w:type="dxa"/>
          <w:right w:w="120" w:type="dxa"/>
        </w:tblCellMar>
      </w:tblPr>
      <w:tblGrid>
        <w:gridCol w:w="1200"/>
        <w:gridCol w:w="1700"/>
        <w:gridCol w:w="6460"/>
      </w:tblGrid>
      <w:tr>
        <w:trPr/>
        <w:tc>
          <w:tcPr>
            <w:tcW w:w="120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Version</w:t>
            </w:r>
          </w:p>
        </w:tc>
        <w:tc>
          <w:tcPr>
            <w:tcW w:w="170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Date</w:t>
            </w:r>
          </w:p>
        </w:tc>
        <w:tc>
          <w:tcPr>
            <w:tcW w:w="6460" w:type="dxa"/>
            <w:tcBorders>
              <w:top w:val="single" w:sz="2" w:space="0" w:color="CCCCCC"/>
              <w:left w:val="single" w:sz="2" w:space="0" w:color="CCCCCC"/>
              <w:bottom w:val="single" w:sz="2" w:space="0" w:color="CCCCCC"/>
              <w:right w:val="single" w:sz="2" w:space="0" w:color="CCCCCC"/>
            </w:tcBorders>
            <w:shd w:fill="D5E8F0" w:val="clear"/>
          </w:tcPr>
          <w:p>
            <w:r>
              <w:rPr>
                <w:b/>
                <w:bCs/>
                <w:sz w:val="22"/>
                <w:szCs w:val="22"/>
              </w:rPr>
              <w:t>Changes</w:t>
            </w:r>
          </w:p>
        </w:tc>
      </w:tr>
      <w:tr>
        <w:trPr/>
        <w:tc>
          <w:tcPr>
            <w:tcW w:w="1200" w:type="dxa"/>
            <w:tcBorders>
              <w:top w:val="single" w:sz="2" w:space="0" w:color="CCCCCC"/>
              <w:left w:val="single" w:sz="2" w:space="0" w:color="CCCCCC"/>
              <w:bottom w:val="single" w:sz="2" w:space="0" w:color="CCCCCC"/>
              <w:right w:val="single" w:sz="2" w:space="0" w:color="CCCCCC"/>
            </w:tcBorders>
          </w:tcPr>
          <w:p>
            <w:r>
              <w:rPr>
                <w:b/>
              </w:rPr>
              <w:t>1.4</w:t>
            </w:r>
          </w:p>
        </w:tc>
        <w:tc>
          <w:tcPr>
            <w:tcW w:w="1700" w:type="dxa"/>
            <w:tcBorders>
              <w:top w:val="single" w:sz="2" w:space="0" w:color="CCCCCC"/>
              <w:left w:val="single" w:sz="2" w:space="0" w:color="CCCCCC"/>
              <w:bottom w:val="single" w:sz="2" w:space="0" w:color="CCCCCC"/>
              <w:right w:val="single" w:sz="2" w:space="0" w:color="CCCCCC"/>
            </w:tcBorders>
          </w:tcPr>
          <w:p>
            <w:r>
              <w:rPr/>
              <w:t>04-30-26 04:58</w:t>
            </w:r>
          </w:p>
        </w:tc>
        <w:tc>
          <w:tcPr>
            <w:tcW w:w="6460" w:type="dxa"/>
            <w:tcBorders>
              <w:top w:val="single" w:sz="2" w:space="0" w:color="CCCCCC"/>
              <w:left w:val="single" w:sz="2" w:space="0" w:color="CCCCCC"/>
              <w:bottom w:val="single" w:sz="2" w:space="0" w:color="CCCCCC"/>
              <w:right w:val="single" w:sz="2" w:space="0" w:color="CCCCCC"/>
            </w:tcBorders>
          </w:tcPr>
          <w:p>
            <w:r>
              <w:rPr/>
              <w:t>Carry-forward from FU-REPORT process definition session, 04-30-26. Section 4 narrative paragraph 'Geographic Service Area format (ACT-ISS-004)' rewritten to reflect ACT-ISS-004 closure and the structured zip code list resolution, used for both Partner service areas and Donor/Sponsor funding territories. Section 6 Open Issues table ACT-ISS-004 row updated to CLOSED status. CR-MARKETING-ISS-001 remains open. Carry-forward request at PRDs/FU/carry-forward/SESSION-PROMPT-carry-forward-account-territory-zipcode-list.md.</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1.0</w:t>
            </w:r>
          </w:p>
        </w:tc>
        <w:tc>
          <w:tcPr>
            <w:tcW w:w="1700" w:type="dxa"/>
            <w:tcBorders>
              <w:top w:val="single" w:sz="2" w:space="0" w:color="CCCCCC"/>
              <w:left w:val="single" w:sz="2" w:space="0" w:color="CCCCCC"/>
              <w:bottom w:val="single" w:sz="2" w:space="0" w:color="CCCCCC"/>
              <w:right w:val="single" w:sz="2" w:space="0" w:color="CCCCCC"/>
            </w:tcBorders>
          </w:tcPr>
          <w:p>
            <w:r>
              <w:t>04-07-26</w:t>
            </w:r>
          </w:p>
        </w:tc>
        <w:tc>
          <w:tcPr>
            <w:tcW w:w="6460" w:type="dxa"/>
            <w:tcBorders>
              <w:top w:val="single" w:sz="2" w:space="0" w:color="CCCCCC"/>
              <w:left w:val="single" w:sz="2" w:space="0" w:color="CCCCCC"/>
              <w:bottom w:val="single" w:sz="2" w:space="0" w:color="CCCCCC"/>
              <w:right w:val="single" w:sz="2" w:space="0" w:color="CCCCCC"/>
            </w:tcBorders>
          </w:tcPr>
          <w:p>
            <w:r>
              <w:t>Initial CR Domain Overview. Establishes the CR domain purpose, four sub-domains (CR-PARTNER, CR-MARKETING, CR-EVENTS, CR-REACTIVATE), seven processes in dependency order, persona scoping, entity summary, and open-issues carried forward.</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1.1</w:t>
            </w:r>
          </w:p>
        </w:tc>
        <w:tc>
          <w:tcPr>
            <w:tcW w:w="1700" w:type="dxa"/>
            <w:tcBorders>
              <w:top w:val="single" w:sz="2" w:space="0" w:color="CCCCCC"/>
              <w:left w:val="single" w:sz="2" w:space="0" w:color="CCCCCC"/>
              <w:bottom w:val="single" w:sz="2" w:space="0" w:color="CCCCCC"/>
              <w:right w:val="single" w:sz="2" w:space="0" w:color="CCCCCC"/>
            </w:tcBorders>
          </w:tcPr>
          <w:p>
            <w:r>
              <w:t>04-08-26</w:t>
            </w:r>
          </w:p>
        </w:tc>
        <w:tc>
          <w:tcPr>
            <w:tcW w:w="6460" w:type="dxa"/>
            <w:tcBorders>
              <w:top w:val="single" w:sz="2" w:space="0" w:color="CCCCCC"/>
              <w:left w:val="single" w:sz="2" w:space="0" w:color="CCCCCC"/>
              <w:bottom w:val="single" w:sz="2" w:space="0" w:color="CCCCCC"/>
              <w:right w:val="single" w:sz="2" w:space="0" w:color="CCCCCC"/>
            </w:tcBorders>
          </w:tcPr>
          <w:p>
            <w:r>
              <w:t>CR-MARKETING Sub-Domain Overview v1.0 carry-forward. Depends On list updated to reference new upstream versions. Section 4.7 updated with CON-ISS-001, CON-ISS-008, and ACT-ISS-001 closures and ACT-ISS-004 supersession note. Section 5 expanded with five new carry-forward entries.</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1.2</w:t>
            </w:r>
          </w:p>
        </w:tc>
        <w:tc>
          <w:tcPr>
            <w:tcW w:w="1700" w:type="dxa"/>
            <w:tcBorders>
              <w:top w:val="single" w:sz="2" w:space="0" w:color="CCCCCC"/>
              <w:left w:val="single" w:sz="2" w:space="0" w:color="CCCCCC"/>
              <w:bottom w:val="single" w:sz="2" w:space="0" w:color="CCCCCC"/>
              <w:right w:val="single" w:sz="2" w:space="0" w:color="CCCCCC"/>
            </w:tcBorders>
          </w:tcPr>
          <w:p>
            <w:r>
              <w:t>04-16-26 01:15</w:t>
            </w:r>
          </w:p>
        </w:tc>
        <w:tc>
          <w:tcPr>
            <w:tcW w:w="6460" w:type="dxa"/>
            <w:tcBorders>
              <w:top w:val="single" w:sz="2" w:space="0" w:color="CCCCCC"/>
              <w:left w:val="single" w:sz="2" w:space="0" w:color="CCCCCC"/>
              <w:bottom w:val="single" w:sz="2" w:space="0" w:color="CCCCCC"/>
              <w:right w:val="single" w:sz="2" w:space="0" w:color="CCCCCC"/>
            </w:tcBorders>
          </w:tcPr>
          <w:p>
            <w:r>
              <w:t>CR-EVENTS Sub-Domain Overview v1.0 carry-forward. Added CR-EVENTS-ISS-001 (event feedback surveys deferred) to the open issues carried forward table.</w:t>
            </w:r>
          </w:p>
        </w:tc>
      </w:tr>
      <w:tr>
        <w:trPr/>
        <w:tc>
          <w:tcPr>
            <w:tcW w:w="1200" w:type="dxa"/>
            <w:tcBorders>
              <w:top w:val="single" w:sz="2" w:space="0" w:color="CCCCCC"/>
              <w:left w:val="single" w:sz="2" w:space="0" w:color="CCCCCC"/>
              <w:bottom w:val="single" w:sz="2" w:space="0" w:color="CCCCCC"/>
              <w:right w:val="single" w:sz="2" w:space="0" w:color="CCCCCC"/>
            </w:tcBorders>
          </w:tcPr>
          <w:p>
            <w:r>
              <w:rPr>
                <w:b/>
                <w:bCs/>
              </w:rPr>
              <w:t>1.3</w:t>
            </w:r>
          </w:p>
        </w:tc>
        <w:tc>
          <w:tcPr>
            <w:tcW w:w="1700" w:type="dxa"/>
            <w:tcBorders>
              <w:top w:val="single" w:sz="2" w:space="0" w:color="CCCCCC"/>
              <w:left w:val="single" w:sz="2" w:space="0" w:color="CCCCCC"/>
              <w:bottom w:val="single" w:sz="2" w:space="0" w:color="CCCCCC"/>
              <w:right w:val="single" w:sz="2" w:space="0" w:color="CCCCCC"/>
            </w:tcBorders>
          </w:tcPr>
          <w:p>
            <w:r>
              <w:t>04-20-26 15:17</w:t>
            </w:r>
          </w:p>
        </w:tc>
        <w:tc>
          <w:tcPr>
            <w:tcW w:w="6460" w:type="dxa"/>
            <w:tcBorders>
              <w:top w:val="single" w:sz="2" w:space="0" w:color="CCCCCC"/>
              <w:left w:val="single" w:sz="2" w:space="0" w:color="CCCCCC"/>
              <w:bottom w:val="single" w:sz="2" w:space="0" w:color="CCCCCC"/>
              <w:right w:val="single" w:sz="2" w:space="0" w:color="CCCCCC"/>
            </w:tcBorders>
          </w:tcPr>
          <w:p>
            <w:r>
              <w:t>MR Phase 9 follow-up carry-forward (MR-Y9-EXC-005). Section 4.7 CON-ISS-008 description rewritten to reflect the 8-value howDidYouHearAboutCbm list with revised channel rollup and reactivation-via-Campaign-tracking note, citing Contact Entity PRD v1.6 as the source of record. Section 4.2 and Section 4.3 narrative updated to reference Contact Entity PRD v1.6 and Account Entity PRD v1.6; specific native/custom field counts replaced with durable language. Three new rows appended to Section 5 Updates to Prior Documents capturing Contact Entity PRD v1.5 to v1.6, Account Entity PRD v1.5 to v1.6, and CR-MARKETING SDO v1.2 to v1.3 updates. Depends On bumped to Entity Inventory v1.5, Contact Entity PRD v1.6, Account Entity PRD v1.6.</w:t>
            </w:r>
          </w:p>
        </w:tc>
      </w:tr>
    </w:tbl>
    <w:p>
      <w:pPr>
        <w:pStyle w:val="Normal"/>
        <w:spacing w:before="0" w:after="200"/>
        <w:rPr/>
      </w:p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40" w:after="180"/>
      <w:outlineLvl w:val="1"/>
    </w:pPr>
    <w:rPr>
      <w:rFonts w:ascii="Arial" w:hAnsi="Arial" w:eastAsia="Arial" w:cs="Arial"/>
      <w:b/>
      <w:bCs/>
      <w:sz w:val="28"/>
      <w:szCs w:val="28"/>
    </w:rPr>
  </w:style>
  <w:style w:type="paragraph" w:styleId="Heading3">
    <w:name w:val="Heading 3"/>
    <w:basedOn w:val="Heading"/>
    <w:qFormat/>
    <w:pPr>
      <w:spacing w:before="200" w:after="16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3907</Words>
  <Characters>26532</Characters>
  <CharactersWithSpaces>30171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2026-04-05T15:45:46Z</dcterms:created>
  <dc:creator>Un-named</dc:creator>
  <dc:description/>
  <dc:language>en-US</dc:language>
  <cp:lastModifiedBy/>
  <dcterms:modified xsi:type="dcterms:W3CDTF">2026-04-06T14:43:47Z</dcterms:modified>
  <cp:revision>2</cp:revision>
  <dc:subject/>
  <dc:title/>
</cp:coreProperties>
</file>