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1.7</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04-30-26 04:58</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Agriculture, Forestry, Fishing and Hunting; Mining, Quarrying, and Oil and Gas Extraction; Utilities; Construction; Manufacturing; Wholesale Trade; Retail Trade; Transportation and Warehousing; Information; Finance and Insurance; Real Estate and Rental and Leasing; Professional, Scientific, and Technical Services; Management of Companies and Enterprises; Administrative and Support and Waste Management; Educational Services; Health Care and Social Assistance; Arts, Entertainment, and Recreation; Accommodation and Food Services; Other Services (except Public Administration); Public Administration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20 standard NAICS two-digit sector titles explicitly enumerated per MR-Y9-EXC-001. This field is an enum (single-select) on Account; the corresponding Contact.industrySectors field is a multiEnum (multi-select).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updated in v2.4).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zip codes from master list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hAnsi="Arial"/>
                <w:b w:val="0"/>
                <w:color w:val="888888"/>
                <w:sz w:val="20"/>
              </w:rPr>
              <w:t xml:space="preserve">The geographic territory the organization primarily serves or funds, expressed as a list of zip codes. Used by Partner organizations to record their service area and by Donor/Sponsor organizations to record their funding territory for territory-based attribution reporting. </w:t>
            </w:r>
            <w:r>
              <w:rPr>
                <w:rFonts w:ascii="Arial" w:hAnsi="Arial"/>
                <w:b/>
                <w:color w:val="888888"/>
                <w:sz w:val="20"/>
              </w:rPr>
              <w:t xml:space="preserve">Domains: </w:t>
            </w:r>
            <w:r>
              <w:rPr>
                <w:rFonts w:ascii="Arial" w:hAnsi="Arial"/>
                <w:b w:val="0"/>
                <w:color w:val="888888"/>
                <w:sz w:val="20"/>
              </w:rPr>
              <w:t xml:space="preserve">CR, FU. </w:t>
            </w:r>
            <w:r>
              <w:rPr>
                <w:rFonts w:ascii="Arial" w:hAnsi="Arial"/>
                <w:b/>
                <w:color w:val="888888"/>
                <w:sz w:val="20"/>
              </w:rPr>
              <w:t xml:space="preserve">Visibility: </w:t>
            </w:r>
            <w:r>
              <w:rPr>
                <w:rFonts w:ascii="Arial" w:hAnsi="Arial"/>
                <w:b w:val="0"/>
                <w:color w:val="888888"/>
                <w:sz w:val="20"/>
              </w:rPr>
              <w:t xml:space="preserve">accountType has Partner OR accountType has Donor/Sponsor. </w:t>
            </w:r>
            <w:r>
              <w:rPr>
                <w:rFonts w:ascii="Arial" w:hAnsi="Arial"/>
                <w:b/>
                <w:color w:val="888888"/>
                <w:sz w:val="20"/>
              </w:rPr>
              <w:t xml:space="preserve">Implementation: </w:t>
            </w:r>
            <w:r>
              <w:rPr>
                <w:rFonts w:ascii="Arial" w:hAnsi="Arial"/>
                <w:b w:val="0"/>
                <w:color w:val="888888"/>
                <w:sz w:val="20"/>
              </w:rPr>
              <w:t>zip code values are queryable for set-membership against Contact addressPostalCode to support territory-based attribution. The Northeast Ohio zip code master list is defined during implementation. Format question (free text vs. controlled list) resolved by ACT-ISS-004 closure: structured zip code list.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 geographicServiceArea (also defined in Section 3.3)</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funderType, funderStatus, funderLifetimeGiving, funderNotes, geographicServiceArea.</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t>CLOSED by FU-REPORT process definition session, 04-30-26. The field is restructured from free text to a structured multi-value zip code list, used for both Partner service areas and Donor/Sponsor funding territories. Master list of Northeast Ohio zip codes to be defined during implementation. CR-MARKETING-ISS-001 remains open in CR-MARKETING scope to the extent it covers questions beyond field format (campaign targeting model, master list maintenance ownership).</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t>ACT-DEC-012</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Version 1.6: industrySector enum values explicitly enumerated with 20 standard NAICS two-digit sector titles per MR-Y9-EXC-001. Replaces the prior count-only reference. This field is an enum (single-select) on Account; the corresponding Contact.industrySectors is a multiEnum (multi-select). Values adopted from the archived legacy YAML and confirmed during the MR Phase 9 YAML Generation conversation.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ACT-DEC-013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Version 1.7: geographicServiceArea field restructured from text to multiEnum (structured zip code list). Visibility expanded from accountType has Partner only to accountType has Partner OR accountType has Donor/Sponsor. The field now supports both Partner service areas and Donor/Sponsor funding territories, queryable for set-membership against Contact addressPostalCode for territory-based attribution reporting. Section 5.3 dynamic logic and Section 6 Donor/Sponsor Profile Panel updated to show the field. ACT-ISS-004 closed. Source: FU-REPORT process definition session, 04-30-26. Carry-forward request at PRDs/FU/carry-forward/SESSION-PROMPT-carry-forward-account-territory-zipcode-list.md.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