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0.1  |  In Progress  |  March 15, 2026 at 03:54 PM UTC</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Client Entity</w:t>
      </w:r>
    </w:p>
    <w:p>
      <w:pPr>
        <w:spacing w:after="120"/>
      </w:pPr>
      <w:r>
        <w:rPr>
          <w:i/>
          <w:iCs/>
          <w:color w:val="888888"/>
        </w:rPr>
        <w:t xml:space="preserve">[PLACEHOLDER: Field definitions — name, contact info, business details, intake information, mentoring needs, goals. Include field name, field type, dropdown values where applicable, and whether field is required, system-populated, or admin-only.]</w:t>
      </w:r>
    </w:p>
    <w:p>
      <w:r>
        <w:t xml:space="preserve"/>
      </w:r>
    </w:p>
    <w:p>
      <w:pPr>
        <w:pStyle w:val="Heading2"/>
      </w:pPr>
      <w:r>
        <w:t xml:space="preserve">2.2 Field Reference Table</w:t>
      </w:r>
    </w:p>
    <w:p>
      <w:pPr>
        <w:spacing w:after="120"/>
      </w:pPr>
      <w:r>
        <w:rPr>
          <w:i/>
          <w:iCs/>
          <w:color w:val="888888"/>
        </w:rPr>
        <w:t xml:space="preserve">[PLACEHOLDER: Complete field reference table — field name, display label, field type, values/options, required Y/N, editable by client Y/N, notes.]</w:t>
      </w:r>
    </w:p>
    <w:p>
      <w:r>
        <w:t xml:space="preserve"/>
      </w:r>
    </w:p>
    <w:p>
      <w:pPr>
        <w:pStyle w:val="Heading1"/>
      </w:pPr>
      <w:r>
        <w:t xml:space="preserve">3. Relationships</w:t>
      </w:r>
    </w:p>
    <w:p>
      <w:pPr>
        <w:pStyle w:val="Heading2"/>
      </w:pPr>
      <w:r>
        <w:t xml:space="preserve">3.1 Client → Engagement</w:t>
      </w:r>
    </w:p>
    <w:p>
      <w:pPr>
        <w:spacing w:after="120"/>
      </w:pPr>
      <w:r>
        <w:rPr>
          <w:i/>
          <w:iCs/>
          <w:color w:val="888888"/>
        </w:rPr>
        <w:t xml:space="preserve">[PLACEHOLDER: Define the relationship between client records and engagement records. Include relationship type, how the relationship is created, and what data is visible from each side.]</w:t>
      </w:r>
    </w:p>
    <w:p>
      <w:r>
        <w:t xml:space="preserve"/>
      </w:r>
    </w:p>
    <w:p>
      <w:pPr>
        <w:pStyle w:val="Heading2"/>
      </w:pPr>
      <w:r>
        <w:t xml:space="preserve">3.2 Client → Mentor</w:t>
      </w:r>
    </w:p>
    <w:p>
      <w:pPr>
        <w:spacing w:after="120"/>
      </w:pPr>
      <w:r>
        <w:rPr>
          <w:i/>
          <w:iCs/>
          <w:color w:val="888888"/>
        </w:rPr>
        <w:t xml:space="preserve">[PLACEHOLDER: Define how clients relate to mentors — through engagement entity. Access scope rules — clients never access CRM directly.]</w:t>
      </w:r>
    </w:p>
    <w:p>
      <w:r>
        <w:t xml:space="preserve"/>
      </w:r>
    </w:p>
    <w:p>
      <w:pPr>
        <w:pStyle w:val="Heading2"/>
      </w:pPr>
      <w:r>
        <w:t xml:space="preserve">3.3 Client → Sessions</w:t>
      </w:r>
    </w:p>
    <w:p>
      <w:pPr>
        <w:spacing w:after="120"/>
      </w:pPr>
      <w:r>
        <w:rPr>
          <w:i/>
          <w:iCs/>
          <w:color w:val="888888"/>
        </w:rPr>
        <w:t xml:space="preserve">[PLACEHOLDER: Define the relationship between client records and logged session records. What session data is visible and to whom.]</w:t>
      </w:r>
    </w:p>
    <w:p>
      <w:r>
        <w:t xml:space="preserve"/>
      </w:r>
    </w:p>
    <w:p>
      <w:pPr>
        <w:pStyle w:val="Heading2"/>
      </w:pPr>
      <w:r>
        <w:t xml:space="preserve">3.4 Client → NPS Responses</w:t>
      </w:r>
    </w:p>
    <w:p>
      <w:pPr>
        <w:spacing w:after="120"/>
      </w:pPr>
      <w:r>
        <w:rPr>
          <w:i/>
          <w:iCs/>
          <w:color w:val="888888"/>
        </w:rPr>
        <w:t xml:space="preserve">[PLACEHOLDER: Define how NPS survey responses are linked to client and engagement records.]</w:t>
      </w:r>
    </w:p>
    <w:p>
      <w:r>
        <w:t xml:space="preserve"/>
      </w:r>
    </w:p>
    <w:p>
      <w:pPr>
        <w:pStyle w:val="Heading2"/>
      </w:pPr>
      <w:r>
        <w:t xml:space="preserve">3.5 Client → Workshop Attendance</w:t>
      </w:r>
    </w:p>
    <w:p>
      <w:pPr>
        <w:spacing w:after="120"/>
      </w:pPr>
      <w:r>
        <w:rPr>
          <w:i/>
          <w:iCs/>
          <w:color w:val="888888"/>
        </w:rPr>
        <w:t xml:space="preserve">[PLACEHOLDER: Define how workshop and event attendance records relate to the client entity.]</w:t>
      </w:r>
    </w:p>
    <w:p>
      <w:r>
        <w:t xml:space="preserve"/>
      </w:r>
    </w:p>
    <w:p>
      <w:pPr>
        <w:pStyle w:val="Heading1"/>
      </w:pPr>
      <w:r>
        <w:t xml:space="preserve">4. Processes &amp; Workflows</w:t>
      </w:r>
    </w:p>
    <w:p>
      <w:pPr>
        <w:pStyle w:val="Heading2"/>
      </w:pPr>
      <w:r>
        <w:t xml:space="preserve">4.1 Client Intake</w:t>
      </w:r>
    </w:p>
    <w:p>
      <w:pPr>
        <w:spacing w:after="120"/>
      </w:pPr>
      <w:r>
        <w:rPr>
          <w:i/>
          <w:iCs/>
          <w:color w:val="888888"/>
        </w:rPr>
        <w:t xml:space="preserve">[PLACEHOLDER: Step-by-step intake process — form submission on website, CRM record creation, admin review, mentor assignment, introduction email trigger.]</w:t>
      </w:r>
    </w:p>
    <w:p>
      <w:r>
        <w:t xml:space="preserve"/>
      </w:r>
    </w:p>
    <w:p>
      <w:pPr>
        <w:pStyle w:val="Heading2"/>
      </w:pPr>
      <w:r>
        <w:t xml:space="preserve">4.2 Mentor Assignment</w:t>
      </w:r>
    </w:p>
    <w:p>
      <w:pPr>
        <w:spacing w:after="120"/>
      </w:pPr>
      <w:r>
        <w:rPr>
          <w:i/>
          <w:iCs/>
          <w:color w:val="888888"/>
        </w:rPr>
        <w:t xml:space="preserve">[PLACEHOLDER: Workflow for matching and assigning a mentor to a client — admin review, matching criteria, assignment record creation, notifications.]</w:t>
      </w:r>
    </w:p>
    <w:p>
      <w:r>
        <w:t xml:space="preserve"/>
      </w:r>
    </w:p>
    <w:p>
      <w:pPr>
        <w:pStyle w:val="Heading2"/>
      </w:pPr>
      <w:r>
        <w:t xml:space="preserve">4.3 Session Logging</w:t>
      </w:r>
    </w:p>
    <w:p>
      <w:pPr>
        <w:spacing w:after="120"/>
      </w:pPr>
      <w:r>
        <w:rPr>
          <w:i/>
          <w:iCs/>
          <w:color w:val="888888"/>
        </w:rPr>
        <w:t xml:space="preserve">[PLACEHOLDER: Process for logging a mentoring session against a client record — fields captured, who logs, how it updates engagement record and KPIs.]</w:t>
      </w:r>
    </w:p>
    <w:p>
      <w:r>
        <w:t xml:space="preserve"/>
      </w:r>
    </w:p>
    <w:p>
      <w:pPr>
        <w:pStyle w:val="Heading2"/>
      </w:pPr>
      <w:r>
        <w:t xml:space="preserve">4.4 NPS Survey Triggers</w:t>
      </w:r>
    </w:p>
    <w:p>
      <w:pPr>
        <w:spacing w:after="120"/>
      </w:pPr>
      <w:r>
        <w:rPr>
          <w:i/>
          <w:iCs/>
          <w:color w:val="888888"/>
        </w:rPr>
        <w:t xml:space="preserve">[PLACEHOLDER: Automated NPS trigger logic — after 2nd session, every 5 sessions thereafter, at engagement close. Survey delivery, response capture, linking to record.]</w:t>
      </w:r>
    </w:p>
    <w:p>
      <w:r>
        <w:t xml:space="preserve"/>
      </w:r>
    </w:p>
    <w:p>
      <w:pPr>
        <w:pStyle w:val="Heading2"/>
      </w:pPr>
      <w:r>
        <w:t xml:space="preserve">4.5 Inactivity Monitoring</w:t>
      </w:r>
    </w:p>
    <w:p>
      <w:pPr>
        <w:spacing w:after="120"/>
      </w:pPr>
      <w:r>
        <w:rPr>
          <w:i/>
          <w:iCs/>
          <w:color w:val="888888"/>
        </w:rPr>
        <w:t xml:space="preserve">[PLACEHOLDER: How inactivity is tracked for client engagements — last contact date, threshold, alert workflow, follow-up actions.]</w:t>
      </w:r>
    </w:p>
    <w:p>
      <w:r>
        <w:t xml:space="preserve"/>
      </w:r>
    </w:p>
    <w:p>
      <w:pPr>
        <w:pStyle w:val="Heading2"/>
      </w:pPr>
      <w:r>
        <w:t xml:space="preserve">4.6 Engagement Close</w:t>
      </w:r>
    </w:p>
    <w:p>
      <w:pPr>
        <w:spacing w:after="120"/>
      </w:pPr>
      <w:r>
        <w:rPr>
          <w:i/>
          <w:iCs/>
          <w:color w:val="888888"/>
        </w:rPr>
        <w:t xml:space="preserve">[PLACEHOLDER: Process for closing a client engagement — outcome recording, milestone capture, final NPS trigger, record status update.]</w:t>
      </w:r>
    </w:p>
    <w:p>
      <w:r>
        <w:t xml:space="preserve"/>
      </w:r>
    </w:p>
    <w:p>
      <w:pPr>
        <w:pStyle w:val="Heading2"/>
      </w:pPr>
      <w:r>
        <w:t xml:space="preserve">4.7 Client Offboarding / Record Retention</w:t>
      </w:r>
    </w:p>
    <w:p>
      <w:pPr>
        <w:spacing w:after="120"/>
      </w:pPr>
      <w:r>
        <w:rPr>
          <w:i/>
          <w:iCs/>
          <w:color w:val="888888"/>
        </w:rPr>
        <w:t xml:space="preserve">[PLACEHOLDER: What happens to client records after engagement close — retention schedule, data archival, access restrictions.]</w:t>
      </w:r>
    </w:p>
    <w:p>
      <w:r>
        <w:t xml:space="preserve"/>
      </w:r>
    </w:p>
    <w:p>
      <w:pPr>
        <w:pStyle w:val="Heading1"/>
      </w:pPr>
      <w:r>
        <w:t xml:space="preserve">5. Security</w:t>
      </w:r>
    </w:p>
    <w:p>
      <w:pPr>
        <w:pStyle w:val="Heading2"/>
      </w:pPr>
      <w:r>
        <w:t xml:space="preserve">5.1 Role-Based Access Control</w:t>
      </w:r>
    </w:p>
    <w:p>
      <w:pPr>
        <w:spacing w:after="120"/>
      </w:pPr>
      <w:r>
        <w:rPr>
          <w:i/>
          <w:iCs/>
          <w:color w:val="888888"/>
        </w:rPr>
        <w:t xml:space="preserve">[PLACEHOLDER: Define what each role (Admin, Primary Mentor, Co-Mentor, SME, Board Member) can see and do within client records. Clients themselves have no CRM access — email only.]</w:t>
      </w:r>
    </w:p>
    <w:p>
      <w:r>
        <w:t xml:space="preserve"/>
      </w:r>
    </w:p>
    <w:p>
      <w:pPr>
        <w:pStyle w:val="Heading2"/>
      </w:pPr>
      <w:r>
        <w:t xml:space="preserve">5.2 Field-Level Security</w:t>
      </w:r>
    </w:p>
    <w:p>
      <w:pPr>
        <w:spacing w:after="120"/>
      </w:pPr>
      <w:r>
        <w:rPr>
          <w:i/>
          <w:iCs/>
          <w:color w:val="888888"/>
        </w:rPr>
        <w:t xml:space="preserve">[PLACEHOLDER: Identify fields requiring additional access restrictions — e.g. sensitive business disclosures, personal circumstances, financial information shared in confidence.]</w:t>
      </w:r>
    </w:p>
    <w:p>
      <w:r>
        <w:t xml:space="preserve"/>
      </w:r>
    </w:p>
    <w:p>
      <w:pPr>
        <w:pStyle w:val="Heading2"/>
      </w:pPr>
      <w:r>
        <w:t xml:space="preserve">5.3 Data Visibility Rules</w:t>
      </w:r>
    </w:p>
    <w:p>
      <w:pPr>
        <w:spacing w:after="120"/>
      </w:pPr>
      <w:r>
        <w:rPr>
          <w:i/>
          <w:iCs/>
          <w:color w:val="888888"/>
        </w:rPr>
        <w:t xml:space="preserve">[PLACEHOLDER: Mentor can only see own assigned clients. Co-mentor and SME scoped to assigned engagement only. Admin full access. Board read-only aggregate reporting — no individual client records.]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Pending Detail Definition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 at 03:54 PM UTC</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initial EspoCRM client entity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