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i w:val="false"/>
          <w:iCs w:val="false"/>
          <w:color w:val="1F3864"/>
          <w:sz w:val="36"/>
          <w:szCs w:val="36"/>
        </w:rPr>
        <w:t xml:space="preserve">Cleveland Business Mentors</w:t>
      </w:r>
    </w:p>
    <w:p>
      <w:pPr>
        <w:spacing w:after="200"/>
        <w:jc w:val="center"/>
      </w:pPr>
      <w:r>
        <w:rPr>
          <w:rFonts w:ascii="Arial" w:cs="Arial" w:eastAsia="Arial" w:hAnsi="Arial"/>
          <w:b/>
          <w:bCs/>
          <w:i w:val="false"/>
          <w:iCs w:val="false"/>
          <w:color w:val="1F3864"/>
          <w:sz w:val="28"/>
          <w:szCs w:val="28"/>
        </w:rPr>
        <w:t xml:space="preserve">Client Intake (MN-INTAKE)</w:t>
      </w:r>
    </w:p>
    <w:p>
      <w:pPr>
        <w:spacing w:after="400"/>
        <w:jc w:val="center"/>
      </w:pPr>
      <w:r>
        <w:rPr>
          <w:rFonts w:ascii="Arial" w:cs="Arial" w:eastAsia="Arial" w:hAnsi="Arial"/>
          <w:b w:val="false"/>
          <w:bCs w:val="false"/>
          <w:i w:val="false"/>
          <w:iCs w:val="false"/>
          <w:sz w:val="22"/>
          <w:szCs w:val="22"/>
        </w:rPr>
        <w:t xml:space="preserve">Process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Mentoring (MN)</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Process Code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2.0</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03-31-26 21:00</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Source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Reworked from MN-INTAKE v1.0; originally extracted from CBM-Domain-PRD-Mentoring.md v1.0</w:t>
            </w:r>
          </w:p>
        </w:tc>
      </w:tr>
    </w:tbl>
    <w:p>
      <w:r>
        <w:br w:type="page"/>
      </w:r>
    </w:p>
    <w:p>
      <w:pPr>
        <w:pStyle w:val="Heading1"/>
        <w:spacing w:before="360" w:after="120"/>
      </w:pPr>
      <w:r>
        <w:rPr>
          <w:rFonts w:ascii="Arial" w:cs="Arial" w:eastAsia="Arial" w:hAnsi="Arial"/>
          <w:b/>
          <w:bCs/>
          <w:i w:val="false"/>
          <w:iCs w:val="false"/>
          <w:sz w:val="32"/>
          <w:szCs w:val="32"/>
        </w:rPr>
        <w:t xml:space="preserve">1. Process Purpose</w:t>
      </w:r>
    </w:p>
    <w:p>
      <w:pPr>
        <w:spacing w:after="120"/>
      </w:pPr>
      <w:r>
        <w:rPr>
          <w:rFonts w:ascii="Arial" w:cs="Arial" w:eastAsia="Arial" w:hAnsi="Arial"/>
          <w:b w:val="false"/>
          <w:bCs w:val="false"/>
          <w:i w:val="false"/>
          <w:iCs w:val="false"/>
          <w:sz w:val="22"/>
          <w:szCs w:val="22"/>
        </w:rPr>
        <w:t xml:space="preserve">The Client Intake process captures the information needed to assess a prospective client’s eligibility for the mentoring program and to identify an appropriate mentor. It routes the application to the Client Administrator for review and disposition.</w:t>
      </w:r>
    </w:p>
    <w:p>
      <w:pPr>
        <w:spacing w:after="120"/>
      </w:pPr>
      <w:r>
        <w:rPr>
          <w:rFonts w:ascii="Arial" w:cs="Arial" w:eastAsia="Arial" w:hAnsi="Arial"/>
          <w:b w:val="false"/>
          <w:bCs w:val="false"/>
          <w:i w:val="false"/>
          <w:iCs w:val="false"/>
          <w:sz w:val="22"/>
          <w:szCs w:val="22"/>
        </w:rPr>
        <w:t xml:space="preserve">The process is complete when the Client Administrator has either approved the application (advancing it to the Mentor Matching process) or declined it with a recorded reason. All records created during intake are retained permanently regardless of outcome.</w:t>
      </w:r>
    </w:p>
    <w:p>
      <w:pPr>
        <w:pStyle w:val="Heading1"/>
        <w:spacing w:before="360" w:after="120"/>
      </w:pPr>
      <w:r>
        <w:rPr>
          <w:rFonts w:ascii="Arial" w:cs="Arial" w:eastAsia="Arial" w:hAnsi="Arial"/>
          <w:b/>
          <w:bCs/>
          <w:i w:val="false"/>
          <w:iCs w:val="false"/>
          <w:sz w:val="32"/>
          <w:szCs w:val="32"/>
        </w:rPr>
        <w:t xml:space="preserve">2. Process Triggers</w:t>
      </w:r>
    </w:p>
    <w:p>
      <w:pPr>
        <w:spacing w:after="40"/>
      </w:pPr>
      <w:r>
        <w:rPr>
          <w:rFonts w:ascii="Arial" w:cs="Arial" w:eastAsia="Arial" w:hAnsi="Arial"/>
          <w:b/>
          <w:bCs/>
          <w:i w:val="false"/>
          <w:iCs w:val="false"/>
          <w:sz w:val="22"/>
          <w:szCs w:val="22"/>
        </w:rPr>
        <w:t xml:space="preserve">Preconditions</w:t>
      </w:r>
    </w:p>
    <w:p>
      <w:pPr>
        <w:spacing w:after="120"/>
      </w:pPr>
      <w:r>
        <w:rPr>
          <w:rFonts w:ascii="Arial" w:cs="Arial" w:eastAsia="Arial" w:hAnsi="Arial"/>
          <w:b w:val="false"/>
          <w:bCs w:val="false"/>
          <w:i w:val="false"/>
          <w:iCs w:val="false"/>
          <w:sz w:val="22"/>
          <w:szCs w:val="22"/>
        </w:rPr>
        <w:t xml:space="preserve">None. Client Intake (MN-INTAKE) is the first process in the Mentoring lifecycle. There are no prior processes that must complete and no records that must exist before intake can begin.</w:t>
      </w:r>
    </w:p>
    <w:p>
      <w:pPr>
        <w:spacing w:after="40"/>
      </w:pPr>
      <w:r>
        <w:rPr>
          <w:rFonts w:ascii="Arial" w:cs="Arial" w:eastAsia="Arial" w:hAnsi="Arial"/>
          <w:b/>
          <w:bCs/>
          <w:i w:val="false"/>
          <w:iCs w:val="false"/>
          <w:sz w:val="22"/>
          <w:szCs w:val="22"/>
        </w:rPr>
        <w:t xml:space="preserve">Required Data</w:t>
      </w:r>
    </w:p>
    <w:p>
      <w:pPr>
        <w:spacing w:after="120"/>
      </w:pPr>
      <w:r>
        <w:rPr>
          <w:rFonts w:ascii="Arial" w:cs="Arial" w:eastAsia="Arial" w:hAnsi="Arial"/>
          <w:b w:val="false"/>
          <w:bCs w:val="false"/>
          <w:i w:val="false"/>
          <w:iCs w:val="false"/>
          <w:sz w:val="22"/>
          <w:szCs w:val="22"/>
        </w:rPr>
        <w:t xml:space="preserve">None. The intake form itself provides all data needed to create the initial records. No pre-existing data in the system is required.</w:t>
      </w:r>
    </w:p>
    <w:p>
      <w:pPr>
        <w:spacing w:after="40"/>
      </w:pPr>
      <w:r>
        <w:rPr>
          <w:rFonts w:ascii="Arial" w:cs="Arial" w:eastAsia="Arial" w:hAnsi="Arial"/>
          <w:b/>
          <w:bCs/>
          <w:i w:val="false"/>
          <w:iCs w:val="false"/>
          <w:sz w:val="22"/>
          <w:szCs w:val="22"/>
        </w:rPr>
        <w:t xml:space="preserve">Initiation Mechanism</w:t>
      </w:r>
    </w:p>
    <w:p>
      <w:pPr>
        <w:spacing w:after="120"/>
      </w:pPr>
      <w:r>
        <w:rPr>
          <w:rFonts w:ascii="Arial" w:cs="Arial" w:eastAsia="Arial" w:hAnsi="Arial"/>
          <w:b w:val="false"/>
          <w:bCs w:val="false"/>
          <w:i w:val="false"/>
          <w:iCs w:val="false"/>
          <w:sz w:val="22"/>
          <w:szCs w:val="22"/>
        </w:rPr>
        <w:t xml:space="preserve">External form submission. A prospective client completes and submits the Phase 1 Mentoring Request form on the organization’s public website.</w:t>
      </w:r>
    </w:p>
    <w:p>
      <w:pPr>
        <w:spacing w:after="40"/>
      </w:pPr>
      <w:r>
        <w:rPr>
          <w:rFonts w:ascii="Arial" w:cs="Arial" w:eastAsia="Arial" w:hAnsi="Arial"/>
          <w:b/>
          <w:bCs/>
          <w:i w:val="false"/>
          <w:iCs w:val="false"/>
          <w:sz w:val="22"/>
          <w:szCs w:val="22"/>
        </w:rPr>
        <w:t xml:space="preserve">Initiating Persona</w:t>
      </w:r>
    </w:p>
    <w:p>
      <w:pPr>
        <w:spacing w:after="120"/>
      </w:pPr>
      <w:r>
        <w:rPr>
          <w:rFonts w:ascii="Arial" w:cs="Arial" w:eastAsia="Arial" w:hAnsi="Arial"/>
          <w:b w:val="false"/>
          <w:bCs w:val="false"/>
          <w:i w:val="false"/>
          <w:iCs w:val="false"/>
          <w:sz w:val="22"/>
          <w:szCs w:val="22"/>
        </w:rPr>
        <w:t xml:space="preserve">Client (MST-PER-013). No special authority or system role is required — the form is publicly accessible.</w:t>
      </w:r>
    </w:p>
    <w:p>
      <w:pPr>
        <w:pStyle w:val="Heading1"/>
        <w:spacing w:before="360" w:after="120"/>
      </w:pPr>
      <w:r>
        <w:rPr>
          <w:rFonts w:ascii="Arial" w:cs="Arial" w:eastAsia="Arial" w:hAnsi="Arial"/>
          <w:b/>
          <w:bCs/>
          <w:i w:val="false"/>
          <w:iCs w:val="false"/>
          <w:sz w:val="32"/>
          <w:szCs w:val="32"/>
        </w:rPr>
        <w:t xml:space="preserve">3. Personas Involved</w:t>
      </w:r>
    </w:p>
    <w:p>
      <w:pPr>
        <w:spacing w:after="40"/>
      </w:pPr>
      <w:r>
        <w:rPr>
          <w:rFonts w:ascii="Arial" w:cs="Arial" w:eastAsia="Arial" w:hAnsi="Arial"/>
          <w:b/>
          <w:bCs/>
          <w:i w:val="false"/>
          <w:iCs w:val="false"/>
          <w:sz w:val="22"/>
          <w:szCs w:val="22"/>
        </w:rPr>
        <w:t xml:space="preserve">Client (MST-PER-013)</w:t>
      </w:r>
    </w:p>
    <w:p>
      <w:pPr>
        <w:spacing w:after="120"/>
      </w:pPr>
      <w:r>
        <w:rPr>
          <w:rFonts w:ascii="Arial" w:cs="Arial" w:eastAsia="Arial" w:hAnsi="Arial"/>
          <w:b w:val="false"/>
          <w:bCs w:val="false"/>
          <w:i w:val="false"/>
          <w:iCs w:val="false"/>
          <w:sz w:val="22"/>
          <w:szCs w:val="22"/>
        </w:rPr>
        <w:t xml:space="preserve">Submits the mentoring request through the public website. Provides business information, contact details, and a description of mentoring needs.</w:t>
      </w:r>
    </w:p>
    <w:p>
      <w:pPr>
        <w:spacing w:after="40"/>
      </w:pPr>
      <w:r>
        <w:rPr>
          <w:rFonts w:ascii="Arial" w:cs="Arial" w:eastAsia="Arial" w:hAnsi="Arial"/>
          <w:b/>
          <w:bCs/>
          <w:i w:val="false"/>
          <w:iCs w:val="false"/>
          <w:sz w:val="22"/>
          <w:szCs w:val="22"/>
        </w:rPr>
        <w:t xml:space="preserve">Client Administrator (MST-PER-003)</w:t>
      </w:r>
    </w:p>
    <w:p>
      <w:pPr>
        <w:spacing w:after="120"/>
      </w:pPr>
      <w:r>
        <w:rPr>
          <w:rFonts w:ascii="Arial" w:cs="Arial" w:eastAsia="Arial" w:hAnsi="Arial"/>
          <w:b w:val="false"/>
          <w:bCs w:val="false"/>
          <w:i w:val="false"/>
          <w:iCs w:val="false"/>
          <w:sz w:val="22"/>
          <w:szCs w:val="22"/>
        </w:rPr>
        <w:t xml:space="preserve">Reviews submitted applications for completeness and basic eligibility. Approves or declines applications and communicates decisions to applicants directly.</w:t>
      </w:r>
    </w:p>
    <w:p>
      <w:pPr>
        <w:pStyle w:val="Heading1"/>
        <w:spacing w:before="360" w:after="120"/>
      </w:pPr>
      <w:r>
        <w:rPr>
          <w:rFonts w:ascii="Arial" w:cs="Arial" w:eastAsia="Arial" w:hAnsi="Arial"/>
          <w:b/>
          <w:bCs/>
          <w:i w:val="false"/>
          <w:iCs w:val="false"/>
          <w:sz w:val="32"/>
          <w:szCs w:val="32"/>
        </w:rPr>
        <w:t xml:space="preserve">4. Process Workflow</w:t>
      </w:r>
    </w:p>
    <w:p>
      <w:pPr>
        <w:pStyle w:val="ListParagraph"/>
        <w:numPr>
          <w:ilvl w:val="0"/>
          <w:numId w:val="2"/>
        </w:numPr>
        <w:spacing w:after="80"/>
      </w:pPr>
      <w:r>
        <w:rPr>
          <w:rFonts w:ascii="Arial" w:cs="Arial" w:eastAsia="Arial" w:hAnsi="Arial"/>
          <w:b w:val="false"/>
          <w:bCs w:val="false"/>
          <w:i w:val="false"/>
          <w:iCs w:val="false"/>
          <w:sz w:val="22"/>
          <w:szCs w:val="22"/>
        </w:rPr>
        <w:t xml:space="preserve">The prospective client completes and submits the Phase 1 Mentoring Request form on the organization’s public website.</w:t>
      </w:r>
    </w:p>
    <w:p>
      <w:pPr>
        <w:pStyle w:val="ListParagraph"/>
        <w:numPr>
          <w:ilvl w:val="0"/>
          <w:numId w:val="2"/>
        </w:numPr>
        <w:spacing w:after="80"/>
      </w:pPr>
      <w:r>
        <w:rPr>
          <w:rFonts w:ascii="Arial" w:cs="Arial" w:eastAsia="Arial" w:hAnsi="Arial"/>
          <w:b w:val="false"/>
          <w:bCs w:val="false"/>
          <w:i w:val="false"/>
          <w:iCs w:val="false"/>
          <w:sz w:val="22"/>
          <w:szCs w:val="22"/>
        </w:rPr>
        <w:t xml:space="preserve">The system automatically creates three linked records: a Client Organization record (the business), a Client Contact record (the submitting individual, flagged as Primary Contact), and an Engagement record with status Submitted. The submitting contact is automatically assigned as an Engagement Contact on the new Engagement record.</w:t>
      </w:r>
    </w:p>
    <w:p>
      <w:pPr>
        <w:pStyle w:val="ListParagraph"/>
        <w:numPr>
          <w:ilvl w:val="0"/>
          <w:numId w:val="2"/>
        </w:numPr>
        <w:spacing w:after="80"/>
      </w:pPr>
      <w:r>
        <w:rPr>
          <w:rFonts w:ascii="Arial" w:cs="Arial" w:eastAsia="Arial" w:hAnsi="Arial"/>
          <w:b w:val="false"/>
          <w:bCs w:val="false"/>
          <w:i w:val="false"/>
          <w:iCs w:val="false"/>
          <w:sz w:val="22"/>
          <w:szCs w:val="22"/>
        </w:rPr>
        <w:t xml:space="preserve">The Client Administrator receives an automatic notification of the new submission.</w:t>
      </w:r>
    </w:p>
    <w:p>
      <w:pPr>
        <w:pStyle w:val="ListParagraph"/>
        <w:numPr>
          <w:ilvl w:val="0"/>
          <w:numId w:val="2"/>
        </w:numPr>
        <w:spacing w:after="80"/>
      </w:pPr>
      <w:r>
        <w:rPr>
          <w:rFonts w:ascii="Arial" w:cs="Arial" w:eastAsia="Arial" w:hAnsi="Arial"/>
          <w:b w:val="false"/>
          <w:bCs w:val="false"/>
          <w:i w:val="false"/>
          <w:iCs w:val="false"/>
          <w:sz w:val="22"/>
          <w:szCs w:val="22"/>
        </w:rPr>
        <w:t xml:space="preserve">The Client Administrator reviews the submission for completeness and basic eligibility against the organization’s program criteria.</w:t>
      </w:r>
    </w:p>
    <w:p>
      <w:pPr>
        <w:pStyle w:val="ListParagraph"/>
        <w:numPr>
          <w:ilvl w:val="0"/>
          <w:numId w:val="2"/>
        </w:numPr>
        <w:spacing w:after="80"/>
      </w:pPr>
      <w:r>
        <w:rPr>
          <w:rFonts w:ascii="Arial" w:cs="Arial" w:eastAsia="Arial" w:hAnsi="Arial"/>
          <w:b w:val="false"/>
          <w:bCs w:val="false"/>
          <w:i w:val="false"/>
          <w:iCs w:val="false"/>
          <w:sz w:val="22"/>
          <w:szCs w:val="22"/>
        </w:rPr>
        <w:t xml:space="preserve">If eligible, the application proceeds to the Mentor Matching process (MN-MATCH).</w:t>
      </w:r>
    </w:p>
    <w:p>
      <w:pPr>
        <w:pStyle w:val="ListParagraph"/>
        <w:numPr>
          <w:ilvl w:val="0"/>
          <w:numId w:val="2"/>
        </w:numPr>
        <w:spacing w:after="80"/>
      </w:pPr>
      <w:r>
        <w:rPr>
          <w:rFonts w:ascii="Arial" w:cs="Arial" w:eastAsia="Arial" w:hAnsi="Arial"/>
          <w:b w:val="false"/>
          <w:bCs w:val="false"/>
          <w:i w:val="false"/>
          <w:iCs w:val="false"/>
          <w:sz w:val="22"/>
          <w:szCs w:val="22"/>
        </w:rPr>
        <w:t xml:space="preserve">If not eligible, the Client Administrator updates the Engagement status to Declined, records the reason, and notifies the applicant directly. No automated notification is sent. The Client Organization and Contact records are retained permanently.</w:t>
      </w:r>
    </w:p>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iCs/>
          <w:sz w:val="22"/>
          <w:szCs w:val="22"/>
        </w:rPr>
        <w:t xml:space="preserve">A structured eligibility screening workflow may be defined by organizational leadership in a future revision. The current process assumes a basic administrative review.</w:t>
      </w:r>
    </w:p>
    <w:p>
      <w:pPr>
        <w:spacing w:before="200" w:after="60"/>
      </w:pPr>
      <w:r>
        <w:rPr>
          <w:rFonts w:ascii="Arial" w:cs="Arial" w:eastAsia="Arial" w:hAnsi="Arial"/>
          <w:b/>
          <w:bCs/>
          <w:i w:val="false"/>
          <w:iCs w:val="false"/>
          <w:sz w:val="22"/>
          <w:szCs w:val="22"/>
        </w:rPr>
        <w:t xml:space="preserve">Process Workflow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1"/>
              <w:left w:val="dashed" w:color="AAAAAA" w:sz="1"/>
              <w:bottom w:val="dashed" w:color="AAAAAA" w:sz="1"/>
              <w:right w:val="dashed" w:color="AAAAAA" w:sz="1"/>
            </w:tcBorders>
            <w:tcMar>
              <w:top w:type="dxa" w:w="200"/>
              <w:left w:type="dxa" w:w="200"/>
              <w:bottom w:type="dxa" w:w="200"/>
              <w:right w:type="dxa" w:w="200"/>
            </w:tcMar>
          </w:tcPr>
          <w:p>
            <w:pPr>
              <w:jc w:val="center"/>
            </w:pPr>
            <w:r>
              <w:rPr>
                <w:rFonts w:ascii="Arial" w:cs="Arial" w:eastAsia="Arial" w:hAnsi="Arial"/>
                <w:b w:val="false"/>
                <w:bCs w:val="false"/>
                <w:i/>
                <w:iCs/>
                <w:color w:val="888888"/>
                <w:sz w:val="20"/>
                <w:szCs w:val="20"/>
              </w:rPr>
              <w:t xml:space="preserve">Workflow diagram to be inserted. Export from draw.io as PNG.</w:t>
            </w:r>
          </w:p>
        </w:tc>
      </w:tr>
    </w:tbl>
    <w:p>
      <w:pPr>
        <w:spacing w:after="200"/>
      </w:pPr>
      <w:r>
        <w:rPr>
          <w:rFonts w:ascii="Arial" w:cs="Arial" w:eastAsia="Arial" w:hAnsi="Arial"/>
          <w:b w:val="false"/>
          <w:bCs w:val="false"/>
          <w:i w:val="false"/>
          <w:iCs w:val="false"/>
          <w:sz w:val="22"/>
          <w:szCs w:val="22"/>
        </w:rPr>
        <w:t xml:space="preserve"/>
      </w:r>
    </w:p>
    <w:p>
      <w:pPr>
        <w:pStyle w:val="Heading1"/>
        <w:spacing w:before="360" w:after="120"/>
      </w:pPr>
      <w:r>
        <w:rPr>
          <w:rFonts w:ascii="Arial" w:cs="Arial" w:eastAsia="Arial" w:hAnsi="Arial"/>
          <w:b/>
          <w:bCs/>
          <w:i w:val="false"/>
          <w:iCs w:val="false"/>
          <w:sz w:val="32"/>
          <w:szCs w:val="32"/>
        </w:rPr>
        <w:t xml:space="preserve">5. Process Completion</w:t>
      </w:r>
    </w:p>
    <w:p>
      <w:pPr>
        <w:spacing w:after="40"/>
      </w:pPr>
      <w:r>
        <w:rPr>
          <w:rFonts w:ascii="Arial" w:cs="Arial" w:eastAsia="Arial" w:hAnsi="Arial"/>
          <w:b/>
          <w:bCs/>
          <w:i w:val="false"/>
          <w:iCs w:val="false"/>
          <w:sz w:val="22"/>
          <w:szCs w:val="22"/>
        </w:rPr>
        <w:t xml:space="preserve">Normal Completion</w:t>
      </w:r>
    </w:p>
    <w:p>
      <w:pPr>
        <w:spacing w:after="120"/>
      </w:pPr>
      <w:r>
        <w:rPr>
          <w:rFonts w:ascii="Arial" w:cs="Arial" w:eastAsia="Arial" w:hAnsi="Arial"/>
          <w:b w:val="false"/>
          <w:bCs w:val="false"/>
          <w:i w:val="false"/>
          <w:iCs w:val="false"/>
          <w:sz w:val="22"/>
          <w:szCs w:val="22"/>
        </w:rPr>
        <w:t xml:space="preserve">The Client Administrator approves the application. The Engagement status advances beyond Submitted (the next process, Mentor Matching, takes ownership of further status transitions). The Client Administrator confirms approval, and the application proceeds to Mentor Matching (MN-MATCH).</w:t>
      </w:r>
    </w:p>
    <w:p>
      <w:pPr>
        <w:spacing w:after="40"/>
      </w:pPr>
      <w:r>
        <w:rPr>
          <w:rFonts w:ascii="Arial" w:cs="Arial" w:eastAsia="Arial" w:hAnsi="Arial"/>
          <w:b/>
          <w:bCs/>
          <w:i w:val="false"/>
          <w:iCs w:val="false"/>
          <w:sz w:val="22"/>
          <w:szCs w:val="22"/>
        </w:rPr>
        <w:t xml:space="preserve">Alternative End State: Declined</w:t>
      </w:r>
    </w:p>
    <w:p>
      <w:pPr>
        <w:spacing w:after="120"/>
      </w:pPr>
      <w:r>
        <w:rPr>
          <w:rFonts w:ascii="Arial" w:cs="Arial" w:eastAsia="Arial" w:hAnsi="Arial"/>
          <w:b w:val="false"/>
          <w:bCs w:val="false"/>
          <w:i w:val="false"/>
          <w:iCs w:val="false"/>
          <w:sz w:val="22"/>
          <w:szCs w:val="22"/>
        </w:rPr>
        <w:t xml:space="preserve">The Client Administrator determines the applicant does not meet program criteria. The Engagement status is set to Declined with a recorded reason. The Client Administrator notifies the applicant directly. This end state is final — a declined application is not reopened. If the applicant reapplies, a new intake submission creates new records.</w:t>
      </w:r>
    </w:p>
    <w:p>
      <w:pPr>
        <w:spacing w:after="40"/>
      </w:pPr>
      <w:r>
        <w:rPr>
          <w:rFonts w:ascii="Arial" w:cs="Arial" w:eastAsia="Arial" w:hAnsi="Arial"/>
          <w:b/>
          <w:bCs/>
          <w:i w:val="false"/>
          <w:iCs w:val="false"/>
          <w:sz w:val="22"/>
          <w:szCs w:val="22"/>
        </w:rPr>
        <w:t xml:space="preserve">Record Retention</w:t>
      </w:r>
    </w:p>
    <w:p>
      <w:pPr>
        <w:spacing w:after="120"/>
      </w:pPr>
      <w:r>
        <w:rPr>
          <w:rFonts w:ascii="Arial" w:cs="Arial" w:eastAsia="Arial" w:hAnsi="Arial"/>
          <w:b w:val="false"/>
          <w:bCs w:val="false"/>
          <w:i w:val="false"/>
          <w:iCs w:val="false"/>
          <w:sz w:val="22"/>
          <w:szCs w:val="22"/>
        </w:rPr>
        <w:t xml:space="preserve">All records created during intake (Client Organization, Client Contact, Engagement) are retained permanently regardless of outcome. Declined applications remain in the system for reporting and historical reference.</w:t>
      </w:r>
    </w:p>
    <w:p>
      <w:pPr>
        <w:spacing w:after="40"/>
      </w:pPr>
      <w:r>
        <w:rPr>
          <w:rFonts w:ascii="Arial" w:cs="Arial" w:eastAsia="Arial" w:hAnsi="Arial"/>
          <w:b/>
          <w:bCs/>
          <w:i w:val="false"/>
          <w:iCs w:val="false"/>
          <w:sz w:val="22"/>
          <w:szCs w:val="22"/>
        </w:rPr>
        <w:t xml:space="preserve">Post-Completion Handoff</w:t>
      </w:r>
    </w:p>
    <w:p>
      <w:pPr>
        <w:spacing w:after="120"/>
      </w:pPr>
      <w:r>
        <w:rPr>
          <w:rFonts w:ascii="Arial" w:cs="Arial" w:eastAsia="Arial" w:hAnsi="Arial"/>
          <w:b w:val="false"/>
          <w:bCs w:val="false"/>
          <w:i w:val="false"/>
          <w:iCs w:val="false"/>
          <w:sz w:val="22"/>
          <w:szCs w:val="22"/>
        </w:rPr>
        <w:t xml:space="preserve">Approved applications proceed to Mentor Matching (MN-MATCH). The Mentor Matching process requires the Client Organization, Client Contact, and Engagement records created by this process as its input.</w:t>
      </w:r>
    </w:p>
    <w:p>
      <w:pPr>
        <w:pStyle w:val="Heading1"/>
        <w:spacing w:before="360" w:after="120"/>
      </w:pPr>
      <w:r>
        <w:rPr>
          <w:rFonts w:ascii="Arial" w:cs="Arial" w:eastAsia="Arial" w:hAnsi="Arial"/>
          <w:b/>
          <w:bCs/>
          <w:i w:val="false"/>
          <w:iCs w:val="false"/>
          <w:sz w:val="32"/>
          <w:szCs w:val="32"/>
        </w:rPr>
        <w:t xml:space="preserve">6.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MN-INTAKE-REQ-001</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accept client mentoring requests submitted through the public website and create linked Client Organization, Client Contact, and Engagement records automatically.</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MN-INTAKE-REQ-002</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submitting individual must be automatically flagged as the Primary Contact on the new Client Organization record.</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MN-INTAKE-REQ-003</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notify the Client Administrator immediately upon receipt of a new submission.</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MN-INTAKE-REQ-004</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New submissions must appear in a dedicated Submitted Applications view accessible to the Client Administrator.</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MN-INTAKE-REQ-005</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support recording of a decline reason when an application is rejected.</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MN-INTAKE-REQ-006</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Organization and Contact records must be retained permanently regardless of Engagement outcome.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MN-INTAKE-REQ-007</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automatically assign the submitting contact as an Engagement Contact on the new Engagement record when it is created.</w:t>
            </w:r>
          </w:p>
        </w:tc>
      </w:tr>
    </w:tbl>
    <w:p>
      <w:pPr>
        <w:pStyle w:val="Heading1"/>
        <w:spacing w:before="360" w:after="120"/>
      </w:pPr>
      <w:r>
        <w:rPr>
          <w:rFonts w:ascii="Arial" w:cs="Arial" w:eastAsia="Arial" w:hAnsi="Arial"/>
          <w:b/>
          <w:bCs/>
          <w:i w:val="false"/>
          <w:iCs w:val="false"/>
          <w:sz w:val="32"/>
          <w:szCs w:val="32"/>
        </w:rPr>
        <w:t xml:space="preserve">7. Process Data</w:t>
      </w:r>
    </w:p>
    <w:p>
      <w:pPr>
        <w:spacing w:after="120"/>
      </w:pPr>
      <w:r>
        <w:rPr>
          <w:rFonts w:ascii="Arial" w:cs="Arial" w:eastAsia="Arial" w:hAnsi="Arial"/>
          <w:b w:val="false"/>
          <w:bCs w:val="false"/>
          <w:i w:val="false"/>
          <w:iCs w:val="false"/>
          <w:sz w:val="22"/>
          <w:szCs w:val="22"/>
        </w:rPr>
        <w:t xml:space="preserve">The Client Intake process does not reference pre-existing data. It is the first process in the Mentoring lifecycle and creates all of its own records from the submitted intake form. The submitted application itself is the data the Client Administrator reviews to assess eligibility.</w:t>
      </w:r>
    </w:p>
    <w:p>
      <w:pPr>
        <w:pStyle w:val="Heading1"/>
        <w:spacing w:before="360" w:after="120"/>
      </w:pPr>
      <w:r>
        <w:rPr>
          <w:rFonts w:ascii="Arial" w:cs="Arial" w:eastAsia="Arial" w:hAnsi="Arial"/>
          <w:b/>
          <w:bCs/>
          <w:i w:val="false"/>
          <w:iCs w:val="false"/>
          <w:sz w:val="32"/>
          <w:szCs w:val="32"/>
        </w:rPr>
        <w:t xml:space="preserve">8. Data Collected</w:t>
      </w:r>
    </w:p>
    <w:p>
      <w:pPr>
        <w:spacing w:after="120"/>
      </w:pPr>
      <w:r>
        <w:rPr>
          <w:rFonts w:ascii="Arial" w:cs="Arial" w:eastAsia="Arial" w:hAnsi="Arial"/>
          <w:b w:val="false"/>
          <w:bCs w:val="false"/>
          <w:i w:val="false"/>
          <w:iCs w:val="false"/>
          <w:sz w:val="22"/>
          <w:szCs w:val="22"/>
        </w:rPr>
        <w:t xml:space="preserve">The following records and fields are created when the intake form is submitted. Fields are collected in Phase 1 (public intake form). Phase 2 fields collected later by the mentor are defined in the Engagement Management process (MN-ENGAGE).</w:t>
      </w:r>
    </w:p>
    <w:p>
      <w:pPr>
        <w:pStyle w:val="Heading2"/>
        <w:spacing w:before="240" w:after="120"/>
      </w:pPr>
      <w:r>
        <w:rPr>
          <w:rFonts w:ascii="Arial" w:cs="Arial" w:eastAsia="Arial" w:hAnsi="Arial"/>
          <w:b/>
          <w:bCs/>
          <w:i w:val="false"/>
          <w:iCs w:val="false"/>
          <w:sz w:val="28"/>
          <w:szCs w:val="28"/>
        </w:rPr>
        <w:t xml:space="preserve">Entity: Client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Business Name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MN-INTAKE-DAT-001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legal or operating name of the client business. Optional because pre-startup applicants may not yet have a business name.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Website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url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MN-INTAKE-DAT-002</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client business website address, if one exists.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Address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address</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MN-INTAKE-DAT-003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primary business address (street, city, state, zip). Used for geographic reporting and service area tracking.</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Organization Type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For-Profit, Non-Profit</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MN-INTAKE-DAT-004</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the organization operates as a for-profit business or a nonprofit. Drives funder reporting categories.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Business Stage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Pre-Startup, Startup, Early Stage, Growth Stage, Established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MN-INTAKE-DAT-005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stage of business development the client organization is in. Used for mentor matching and funder reporting.</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Industry Sector</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20 top-level NAICS sectors</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MN-INTAKE-DAT-006</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primary industry sector of the client business based on the North American Industry Classification System. Used for mentor matching and impact reporting. Drives the Industry Subsector filter.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Industry Subsector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~100 subsectors filtered by Industry Sector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MN-INTAKE-DAT-007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specific industry subsector within the selected Industry Sector. Provides more precise industry classification for matching and reporting.</w:t>
            </w:r>
          </w:p>
        </w:tc>
      </w:tr>
    </w:tbl>
    <w:p>
      <w:pPr>
        <w:spacing w:after="120"/>
      </w:pPr>
      <w:r>
        <w:rPr>
          <w:rFonts w:ascii="Arial" w:cs="Arial" w:eastAsia="Arial" w:hAnsi="Arial"/>
          <w:b w:val="false"/>
          <w:bCs w:val="false"/>
          <w:i w:val="false"/>
          <w:iCs w:val="false"/>
          <w:sz w:val="22"/>
          <w:szCs w:val="22"/>
        </w:rPr>
        <w:t xml:space="preserve"/>
      </w:r>
    </w:p>
    <w:p>
      <w:pPr>
        <w:pStyle w:val="Heading2"/>
        <w:spacing w:before="240" w:after="120"/>
      </w:pPr>
      <w:r>
        <w:rPr>
          <w:rFonts w:ascii="Arial" w:cs="Arial" w:eastAsia="Arial" w:hAnsi="Arial"/>
          <w:b/>
          <w:bCs/>
          <w:i w:val="false"/>
          <w:iCs w:val="false"/>
          <w:sz w:val="28"/>
          <w:szCs w:val="28"/>
        </w:rPr>
        <w:t xml:space="preserve">Entity: Client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First Name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MN-INTAKE-DAT-008</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first name.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Last Name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MN-INTAKE-DAT-009</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last name.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Middle Name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MN-INTAKE-DAT-010</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middle name.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Preferred Name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MN-INTAKE-DAT-011</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name the contact prefers to be called. Used in communications and engagement materials when provided.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Email</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email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MN-INTAKE-DAT-012</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primary email address. Used for all communications including mentor introduction, meeting requests, and satisfaction surveys.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Phone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phone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MN-INTAKE-DAT-013</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primary phone number.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Zip Code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MN-INTAKE-DAT-014</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zip code. Used for geographic service area reporting and outreach targeting.</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LinkedIn Profile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url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MN-INTAKE-DAT-015</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LinkedIn profile URL. Provides the mentor with professional background context.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Primary Contact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MN-INTAKE-DAT-016</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Identifies this contact as the primary point of contact for the client organization. Defaults to Yes for the first contact created. Automated communications default to the primary contact when no specific engagement contacts are designated.</w:t>
            </w:r>
          </w:p>
        </w:tc>
      </w:tr>
    </w:tbl>
    <w:p>
      <w:pPr>
        <w:spacing w:after="120"/>
      </w:pPr>
      <w:r>
        <w:rPr>
          <w:rFonts w:ascii="Arial" w:cs="Arial" w:eastAsia="Arial" w:hAnsi="Arial"/>
          <w:b w:val="false"/>
          <w:bCs w:val="false"/>
          <w:i w:val="false"/>
          <w:iCs w:val="false"/>
          <w:sz w:val="22"/>
          <w:szCs w:val="22"/>
        </w:rPr>
        <w:t xml:space="preserve"/>
      </w:r>
    </w:p>
    <w:p>
      <w:pPr>
        <w:pStyle w:val="Heading2"/>
        <w:spacing w:before="240" w:after="120"/>
      </w:pPr>
      <w:r>
        <w:rPr>
          <w:rFonts w:ascii="Arial" w:cs="Arial" w:eastAsia="Arial" w:hAnsi="Arial"/>
          <w:b/>
          <w:bCs/>
          <w:i w:val="false"/>
          <w:iCs w:val="false"/>
          <w:sz w:val="28"/>
          <w:szCs w:val="28"/>
        </w:rPr>
        <w:t xml:space="preserve">Entity: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Submitted, Declined, Pending Acceptance, Assigned, Active, On-Hold, Dormant, Inactive, Abandoned, Completed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Submitted</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current lifecycle stage of the mentoring engagement. Created automatically with value Submitted when the intake form is submitted. This process may transition the status to Declined. Full status transition rules are defined across Mentor Matching (MN-MATCH), Engagement Management (MN-ENGAGE), Activity Monitoring (MN-INACTIVE), and Engagement Closure (MN-CLOSE).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Mentoring Focus Areas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 see MN-INTAKE-ISS-001</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MN-INTAKE-DAT-018</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specific areas where the client is seeking mentoring assistance for this engagement. Primary matching criterion between clients and mentors. Values must align with the corresponding field on the Mentor profile.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Mentoring Needs Description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MN-INTAKE-DAT-019</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client’s own description of what they are looking for in this mentoring engagement. Reviewed by the Client Assignment Coordinator during mentor matching.</w:t>
            </w:r>
          </w:p>
        </w:tc>
      </w:tr>
    </w:tbl>
    <w:p>
      <w:pPr>
        <w:pStyle w:val="Heading1"/>
        <w:spacing w:before="360" w:after="120"/>
      </w:pPr>
      <w:r>
        <w:rPr>
          <w:rFonts w:ascii="Arial" w:cs="Arial" w:eastAsia="Arial" w:hAnsi="Arial"/>
          <w:b/>
          <w:bCs/>
          <w:i w:val="false"/>
          <w:iCs w:val="false"/>
          <w:sz w:val="32"/>
          <w:szCs w:val="32"/>
        </w:rPr>
        <w:t xml:space="preserve">9. Open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Issue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MN-INTAKE-ISS-001</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Mentoring Focus Areas (MN-INTAKE-DAT-018): The complete list of allowed values has not been defined. Values must align with the corresponding field on the Mentor profile (defined in the Mentor Recruitment domain). Needs input from: CBM program leadership and Mentor Recruitment domain definition.</w:t>
            </w:r>
          </w:p>
        </w:tc>
      </w:tr>
    </w:tbl>
    <w:p>
      <w:pPr>
        <w:pStyle w:val="Heading1"/>
        <w:spacing w:before="360" w:after="120"/>
      </w:pPr>
      <w:r>
        <w:rPr>
          <w:rFonts w:ascii="Arial" w:cs="Arial" w:eastAsia="Arial" w:hAnsi="Arial"/>
          <w:b/>
          <w:bCs/>
          <w:i w:val="false"/>
          <w:iCs w:val="false"/>
          <w:sz w:val="32"/>
          <w:szCs w:val="32"/>
        </w:rPr>
        <w:t xml:space="preserve">10. Updates to Prior Documents</w:t>
      </w:r>
    </w:p>
    <w:p>
      <w:pPr>
        <w:spacing w:after="120"/>
      </w:pPr>
      <w:r>
        <w:rPr>
          <w:rFonts w:ascii="Arial" w:cs="Arial" w:eastAsia="Arial" w:hAnsi="Arial"/>
          <w:b w:val="false"/>
          <w:bCs w:val="false"/>
          <w:i w:val="false"/>
          <w:iCs w:val="false"/>
          <w:sz w:val="22"/>
          <w:szCs w:val="22"/>
        </w:rPr>
        <w:t xml:space="preserve">No updates to prior documents were identified. Client Intake (MN-INTAKE) is the first process defined in the Mentoring domain; there are no prior process documents to update.</w:t>
      </w:r>
    </w:p>
    <w:p>
      <w:pPr>
        <w:spacing w:after="120"/>
      </w:pPr>
      <w:r>
        <w:rPr>
          <w:rFonts w:ascii="Arial" w:cs="Arial" w:eastAsia="Arial" w:hAnsi="Arial"/>
          <w:b w:val="false"/>
          <w:bCs w:val="false"/>
          <w:i/>
          <w:iCs/>
          <w:sz w:val="22"/>
          <w:szCs w:val="22"/>
        </w:rPr>
        <w:t xml:space="preserve">Note: During the Engagement Management (MN-ENGAGE) session, MN-ENGAGE-REQ-009 was identified as requiring a corresponding requirement in this document. That requirement has been added as MN-INTAKE-REQ-007 and the workflow step 2 has been updated to reflect the automatic Engagement Contact assignment.</w:t>
      </w:r>
    </w:p>
    <w:p>
      <w:pPr>
        <w:pStyle w:val="Heading1"/>
        <w:spacing w:before="360" w:after="120"/>
      </w:pPr>
      <w:r>
        <w:rPr>
          <w:rFonts w:ascii="Arial" w:cs="Arial" w:eastAsia="Arial" w:hAnsi="Arial"/>
          <w:b/>
          <w:bCs/>
          <w:i w:val="false"/>
          <w:iCs w:val="false"/>
          <w:sz w:val="32"/>
          <w:szCs w:val="32"/>
        </w:rPr>
        <w:t xml:space="preserve">11. Interview Transcript</w:t>
      </w:r>
    </w:p>
    <w:p>
      <w:pPr>
        <w:spacing w:after="120"/>
      </w:pPr>
      <w:r>
        <w:rPr>
          <w:rFonts w:ascii="Arial" w:cs="Arial" w:eastAsia="Arial" w:hAnsi="Arial"/>
          <w:b w:val="false"/>
          <w:bCs w:val="false"/>
          <w:i w:val="false"/>
          <w:iCs w:val="false"/>
          <w:sz w:val="22"/>
          <w:szCs w:val="22"/>
        </w:rPr>
        <w:t xml:space="preserve">This document was not produced through a live interview. The content was originally extracted from CBM-Domain-PRD-Mentoring.md v1.0 and restructured into the process document format. The following decisions and content changes have been applied across sessions:</w:t>
      </w:r>
    </w:p>
    <w:p>
      <w:pPr>
        <w:spacing w:after="40"/>
      </w:pPr>
      <w:r>
        <w:rPr>
          <w:rFonts w:ascii="Arial" w:cs="Arial" w:eastAsia="Arial" w:hAnsi="Arial"/>
          <w:b/>
          <w:bCs/>
          <w:i w:val="false"/>
          <w:iCs w:val="false"/>
          <w:sz w:val="22"/>
          <w:szCs w:val="22"/>
        </w:rPr>
        <w:t xml:space="preserve">Document Origin</w:t>
      </w:r>
    </w:p>
    <w:p>
      <w:pPr>
        <w:spacing w:after="40"/>
      </w:pPr>
      <w:r>
        <w:rPr>
          <w:rFonts w:ascii="Arial" w:cs="Arial" w:eastAsia="Arial" w:hAnsi="Arial"/>
          <w:b w:val="false"/>
          <w:bCs w:val="false"/>
          <w:i/>
          <w:iCs/>
          <w:sz w:val="22"/>
          <w:szCs w:val="22"/>
        </w:rPr>
        <w:t xml:space="preserve">Q: What is the source material for this process document?</w:t>
      </w:r>
    </w:p>
    <w:p>
      <w:pPr>
        <w:spacing w:after="80"/>
      </w:pPr>
      <w:r>
        <w:rPr>
          <w:rFonts w:ascii="Arial" w:cs="Arial" w:eastAsia="Arial" w:hAnsi="Arial"/>
          <w:b w:val="false"/>
          <w:bCs w:val="false"/>
          <w:i w:val="false"/>
          <w:iCs w:val="false"/>
          <w:sz w:val="22"/>
          <w:szCs w:val="22"/>
        </w:rPr>
        <w:t xml:space="preserve">A: The Client Intake process was extracted from Section 4 (Mentoring Domain) of CBM-Domain-PRD-Mentoring.md v1.0, which documented the full Mentoring lifecycle based on interviews with the CBM administrator.</w:t>
      </w:r>
    </w:p>
    <w:p>
      <w:pPr>
        <w:spacing w:after="40"/>
      </w:pPr>
      <w:r>
        <w:rPr>
          <w:rFonts w:ascii="Arial" w:cs="Arial" w:eastAsia="Arial" w:hAnsi="Arial"/>
          <w:b/>
          <w:bCs/>
          <w:i w:val="false"/>
          <w:iCs w:val="false"/>
          <w:sz w:val="22"/>
          <w:szCs w:val="22"/>
        </w:rPr>
        <w:t xml:space="preserve">Content Decisions Applied from Prior Sessions</w:t>
      </w:r>
    </w:p>
    <w:p>
      <w:pPr>
        <w:spacing w:after="40"/>
      </w:pPr>
      <w:r>
        <w:rPr>
          <w:rFonts w:ascii="Arial" w:cs="Arial" w:eastAsia="Arial" w:hAnsi="Arial"/>
          <w:b w:val="false"/>
          <w:bCs w:val="false"/>
          <w:i/>
          <w:iCs/>
          <w:sz w:val="22"/>
          <w:szCs w:val="22"/>
        </w:rPr>
        <w:t xml:space="preserve">Q: Where do Mentoring Focus Areas and Mentoring Needs Description belong — on Client Organization or Engagement?</w:t>
      </w:r>
    </w:p>
    <w:p>
      <w:pPr>
        <w:spacing w:after="40"/>
      </w:pPr>
      <w:r>
        <w:rPr>
          <w:rFonts w:ascii="Arial" w:cs="Arial" w:eastAsia="Arial" w:hAnsi="Arial"/>
          <w:b w:val="false"/>
          <w:bCs w:val="false"/>
          <w:i w:val="false"/>
          <w:iCs w:val="false"/>
          <w:sz w:val="22"/>
          <w:szCs w:val="22"/>
        </w:rPr>
        <w:t xml:space="preserve">A: On the Engagement entity. These describe what the client needs from a specific mentoring engagement, not characteristics of the business itself. A client could have multiple engagements with different focus areas.</w:t>
      </w:r>
    </w:p>
    <w:p>
      <w:pPr>
        <w:spacing w:after="80"/>
      </w:pPr>
      <w:r>
        <w:rPr>
          <w:rFonts w:ascii="Arial" w:cs="Arial" w:eastAsia="Arial" w:hAnsi="Arial"/>
          <w:b/>
          <w:bCs/>
          <w:i w:val="false"/>
          <w:iCs w:val="false"/>
          <w:sz w:val="22"/>
          <w:szCs w:val="22"/>
        </w:rPr>
        <w:t xml:space="preserve">Decision: Mentoring Focus Areas and Mentoring Needs Description moved from Client Organization to Engagement. DAT identifiers renumbered accordingly (MN-INTAKE-DAT-001 through DAT-019).</w:t>
      </w:r>
    </w:p>
    <w:p>
      <w:pPr>
        <w:spacing w:after="40"/>
      </w:pPr>
      <w:r>
        <w:rPr>
          <w:rFonts w:ascii="Arial" w:cs="Arial" w:eastAsia="Arial" w:hAnsi="Arial"/>
          <w:b w:val="false"/>
          <w:bCs w:val="false"/>
          <w:i/>
          <w:iCs/>
          <w:sz w:val="22"/>
          <w:szCs w:val="22"/>
        </w:rPr>
        <w:t xml:space="preserve">Q: Should Middle Name, Preferred Name, and LinkedIn Profile be added to Client Contact?</w:t>
      </w:r>
    </w:p>
    <w:p>
      <w:pPr>
        <w:spacing w:after="40"/>
      </w:pPr>
      <w:r>
        <w:rPr>
          <w:rFonts w:ascii="Arial" w:cs="Arial" w:eastAsia="Arial" w:hAnsi="Arial"/>
          <w:b w:val="false"/>
          <w:bCs w:val="false"/>
          <w:i w:val="false"/>
          <w:iCs w:val="false"/>
          <w:sz w:val="22"/>
          <w:szCs w:val="22"/>
        </w:rPr>
        <w:t xml:space="preserve">A: Yes. Middle Name and Preferred Name support personalized communications. LinkedIn Profile provides mentors with professional background context during matching.</w:t>
      </w:r>
    </w:p>
    <w:p>
      <w:pPr>
        <w:spacing w:after="80"/>
      </w:pPr>
      <w:r>
        <w:rPr>
          <w:rFonts w:ascii="Arial" w:cs="Arial" w:eastAsia="Arial" w:hAnsi="Arial"/>
          <w:b/>
          <w:bCs/>
          <w:i w:val="false"/>
          <w:iCs w:val="false"/>
          <w:sz w:val="22"/>
          <w:szCs w:val="22"/>
        </w:rPr>
        <w:t xml:space="preserve">Decision: Middle Name (DAT-010), Preferred Name (DAT-011), and LinkedIn Profile (DAT-015) added to Client Contact.</w:t>
      </w:r>
    </w:p>
    <w:p>
      <w:pPr>
        <w:spacing w:after="40"/>
      </w:pPr>
      <w:r>
        <w:rPr>
          <w:rFonts w:ascii="Arial" w:cs="Arial" w:eastAsia="Arial" w:hAnsi="Arial"/>
          <w:b w:val="false"/>
          <w:bCs w:val="false"/>
          <w:i/>
          <w:iCs/>
          <w:sz w:val="22"/>
          <w:szCs w:val="22"/>
        </w:rPr>
        <w:t xml:space="preserve">Q: Should Phone be required on Client Contact?</w:t>
      </w:r>
    </w:p>
    <w:p>
      <w:pPr>
        <w:spacing w:after="40"/>
      </w:pPr>
      <w:r>
        <w:rPr>
          <w:rFonts w:ascii="Arial" w:cs="Arial" w:eastAsia="Arial" w:hAnsi="Arial"/>
          <w:b w:val="false"/>
          <w:bCs w:val="false"/>
          <w:i w:val="false"/>
          <w:iCs w:val="false"/>
          <w:sz w:val="22"/>
          <w:szCs w:val="22"/>
        </w:rPr>
        <w:t xml:space="preserve">A: Yes. Phone is a primary communication channel for mentor-client interactions.</w:t>
      </w:r>
    </w:p>
    <w:p>
      <w:pPr>
        <w:spacing w:after="80"/>
      </w:pPr>
      <w:r>
        <w:rPr>
          <w:rFonts w:ascii="Arial" w:cs="Arial" w:eastAsia="Arial" w:hAnsi="Arial"/>
          <w:b/>
          <w:bCs/>
          <w:i w:val="false"/>
          <w:iCs w:val="false"/>
          <w:sz w:val="22"/>
          <w:szCs w:val="22"/>
        </w:rPr>
        <w:t xml:space="preserve">Decision: Phone changed from Required: No to Required: Yes.</w:t>
      </w:r>
    </w:p>
    <w:p>
      <w:pPr>
        <w:spacing w:after="40"/>
      </w:pPr>
      <w:r>
        <w:rPr>
          <w:rFonts w:ascii="Arial" w:cs="Arial" w:eastAsia="Arial" w:hAnsi="Arial"/>
          <w:b w:val="false"/>
          <w:bCs w:val="false"/>
          <w:i/>
          <w:iCs/>
          <w:sz w:val="22"/>
          <w:szCs w:val="22"/>
        </w:rPr>
        <w:t xml:space="preserve">Q: Should Close Date and Close Reason be defined in MN-INTAKE?</w:t>
      </w:r>
    </w:p>
    <w:p>
      <w:pPr>
        <w:spacing w:after="40"/>
      </w:pPr>
      <w:r>
        <w:rPr>
          <w:rFonts w:ascii="Arial" w:cs="Arial" w:eastAsia="Arial" w:hAnsi="Arial"/>
          <w:b w:val="false"/>
          <w:bCs w:val="false"/>
          <w:i w:val="false"/>
          <w:iCs w:val="false"/>
          <w:sz w:val="22"/>
          <w:szCs w:val="22"/>
        </w:rPr>
        <w:t xml:space="preserve">A: No. These fields are only relevant when an engagement is being formally closed. They belong in the Engagement Closure process (MN-CLOSE).</w:t>
      </w:r>
    </w:p>
    <w:p>
      <w:pPr>
        <w:spacing w:after="80"/>
      </w:pPr>
      <w:r>
        <w:rPr>
          <w:rFonts w:ascii="Arial" w:cs="Arial" w:eastAsia="Arial" w:hAnsi="Arial"/>
          <w:b/>
          <w:bCs/>
          <w:i w:val="false"/>
          <w:iCs w:val="false"/>
          <w:sz w:val="22"/>
          <w:szCs w:val="22"/>
        </w:rPr>
        <w:t xml:space="preserve">Decision: Close Date and Close Reason removed from MN-INTAKE. They will be defined in MN-CLOSE.</w:t>
      </w:r>
    </w:p>
    <w:p>
      <w:pPr>
        <w:spacing w:after="40"/>
      </w:pPr>
      <w:r>
        <w:rPr>
          <w:rFonts w:ascii="Arial" w:cs="Arial" w:eastAsia="Arial" w:hAnsi="Arial"/>
          <w:b/>
          <w:bCs/>
          <w:i w:val="false"/>
          <w:iCs w:val="false"/>
          <w:sz w:val="22"/>
          <w:szCs w:val="22"/>
        </w:rPr>
        <w:t xml:space="preserve">Content Decision Applied from MN-ENGAGE Session</w:t>
      </w:r>
    </w:p>
    <w:p>
      <w:pPr>
        <w:spacing w:after="40"/>
      </w:pPr>
      <w:r>
        <w:rPr>
          <w:rFonts w:ascii="Arial" w:cs="Arial" w:eastAsia="Arial" w:hAnsi="Arial"/>
          <w:b w:val="false"/>
          <w:bCs w:val="false"/>
          <w:i/>
          <w:iCs/>
          <w:sz w:val="22"/>
          <w:szCs w:val="22"/>
        </w:rPr>
        <w:t xml:space="preserve">Q: MN-ENGAGE-REQ-009 states that the submitting contact from Client Intake must be automatically assigned as an Engagement Contact when the Engagement is created. Should this be documented in MN-INTAKE?</w:t>
      </w:r>
    </w:p>
    <w:p>
      <w:pPr>
        <w:spacing w:after="40"/>
      </w:pPr>
      <w:r>
        <w:rPr>
          <w:rFonts w:ascii="Arial" w:cs="Arial" w:eastAsia="Arial" w:hAnsi="Arial"/>
          <w:b w:val="false"/>
          <w:bCs w:val="false"/>
          <w:i w:val="false"/>
          <w:iCs w:val="false"/>
          <w:sz w:val="22"/>
          <w:szCs w:val="22"/>
        </w:rPr>
        <w:t xml:space="preserve">A: Yes. The behavior occurs at Engagement creation time, which is during Client Intake. It should be a requirement in MN-INTAKE and reflected in the workflow.</w:t>
      </w:r>
    </w:p>
    <w:p>
      <w:pPr>
        <w:spacing w:after="80"/>
      </w:pPr>
      <w:r>
        <w:rPr>
          <w:rFonts w:ascii="Arial" w:cs="Arial" w:eastAsia="Arial" w:hAnsi="Arial"/>
          <w:b/>
          <w:bCs/>
          <w:i w:val="false"/>
          <w:iCs w:val="false"/>
          <w:sz w:val="22"/>
          <w:szCs w:val="22"/>
        </w:rPr>
        <w:t xml:space="preserve">Decision: Added MN-INTAKE-REQ-007 (automatic Engagement Contact assignment). Updated workflow step 2 to include this behavior.</w:t>
      </w:r>
    </w:p>
    <w:p>
      <w:pPr>
        <w:spacing w:after="40"/>
      </w:pPr>
      <w:r>
        <w:rPr>
          <w:rFonts w:ascii="Arial" w:cs="Arial" w:eastAsia="Arial" w:hAnsi="Arial"/>
          <w:b/>
          <w:bCs/>
          <w:i w:val="false"/>
          <w:iCs w:val="false"/>
          <w:sz w:val="22"/>
          <w:szCs w:val="22"/>
        </w:rPr>
        <w:t xml:space="preserve">V2.0 Restructuring</w:t>
      </w:r>
    </w:p>
    <w:p>
      <w:pPr>
        <w:spacing w:after="120"/>
      </w:pPr>
      <w:r>
        <w:rPr>
          <w:rFonts w:ascii="Arial" w:cs="Arial" w:eastAsia="Arial" w:hAnsi="Arial"/>
          <w:b w:val="false"/>
          <w:bCs w:val="false"/>
          <w:i w:val="false"/>
          <w:iCs w:val="false"/>
          <w:sz w:val="22"/>
          <w:szCs w:val="22"/>
        </w:rPr>
        <w:t xml:space="preserve">This version restructures the document from the original six-section format to the v2.4 eleven-section format. No content was removed or contradicted — existing content was reorganized into the new structure and new sections (Process Triggers, Process Completion, Open Issues, Updates to Prior Documents, Interview Transcript) were added. Field type names were updated to use the authoritative type list (e.g., Text → varchar, Dropdown → enum, Yes/No → bool).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after="0"/>
    </w:pPr>
    <w:r>
      <w:rPr>
        <w:rFonts w:ascii="Arial" w:cs="Arial" w:eastAsia="Arial" w:hAnsi="Arial"/>
        <w:b w:val="false"/>
        <w:bCs w:val="false"/>
        <w:i w:val="false"/>
        <w:iCs w:val="false"/>
        <w:color w:val="999999"/>
        <w:sz w:val="16"/>
        <w:szCs w:val="16"/>
      </w:rPr>
      <w:t xml:space="preserve">Process Document — Mentoring Domain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0"/>
    </w:pPr>
    <w:r>
      <w:rPr>
        <w:rFonts w:ascii="Arial" w:cs="Arial" w:eastAsia="Arial" w:hAnsi="Arial"/>
        <w:b w:val="false"/>
        <w:bCs w:val="false"/>
        <w:i w:val="false"/>
        <w:iCs w:val="false"/>
        <w:color w:val="666666"/>
        <w:sz w:val="18"/>
        <w:szCs w:val="18"/>
      </w:rPr>
      <w:t xml:space="preserve">Cleveland Business Mentors</w:t>
    </w:r>
    <w:r>
      <w:ptab w:alignment="right" w:relativeTo="margin" w:leader="none"/>
    </w:r>
    <w:r>
      <w:rPr>
        <w:rFonts w:ascii="Arial" w:cs="Arial" w:eastAsia="Arial" w:hAnsi="Arial"/>
        <w:b w:val="false"/>
        <w:bCs w:val="false"/>
        <w:i w:val="false"/>
        <w:iCs w:val="false"/>
        <w:color w:val="666666"/>
        <w:sz w:val="18"/>
        <w:szCs w:val="18"/>
      </w:rPr>
      <w:t xml:space="preserve">Client Intake (MN-INTAKE)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3864"/>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2026-03-31T19:36:56.332Z</dcterms:created>
  <dcterms:modified xsi:type="dcterms:W3CDTF">2026-03-31T19:36:56.333Z</dcterms:modified>
</cp:coreProperties>
</file>

<file path=docProps/custom.xml><?xml version="1.0" encoding="utf-8"?>
<Properties xmlns="http://schemas.openxmlformats.org/officeDocument/2006/custom-properties" xmlns:vt="http://schemas.openxmlformats.org/officeDocument/2006/docPropsVTypes"/>
</file>