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Mentor Matching (MN-MATCH)</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2.0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03-31-26 21:30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Reworked from MN-MATCH v1.0; originally extracted from CBM-Domain-PRD-Mentoring.md v1.0</w:t>
            </w:r>
          </w:p>
        </w:tc>
      </w:tr>
    </w:tbl>
    <w:p>
      <w:r>
        <w:br w:type="page"/>
      </w:r>
    </w:p>
    <w:p>
      <w:pPr>
        <w:pStyle w:val="Heading1"/>
        <w:spacing w:before="360" w:after="12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Mentor Matching process identifies the most appropriate available mentor for a client and obtains the mentor’s acceptance of the assignment. The process is complete when a mentor has accepted and personally introduced themselves to the client.</w:t>
      </w:r>
    </w:p>
    <w:p>
      <w:pPr>
        <w:pStyle w:val="Heading1"/>
        <w:spacing w:before="360" w:after="120"/>
      </w:pPr>
      <w:r>
        <w:rPr>
          <w:rFonts w:ascii="Arial" w:cs="Arial" w:eastAsia="Arial" w:hAnsi="Arial"/>
          <w:b/>
          <w:bCs/>
          <w:i w:val="false"/>
          <w:iCs w:val="false"/>
          <w:sz w:val="32"/>
          <w:szCs w:val="32"/>
        </w:rPr>
        <w:t xml:space="preserve">2. Process Triggers</w:t>
      </w:r>
    </w:p>
    <w:p>
      <w:pPr>
        <w:spacing w:after="4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The Client Intake process (MN-INTAKE) must have completed with an approved outcome. The Engagement record must exist with status Submitted. The associated Client Organization and Client Contact records must be populated with the intake data.</w:t>
      </w:r>
    </w:p>
    <w:p>
      <w:pPr>
        <w:spacing w:after="4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The following records from Client Intake (MN-INTAKE) must exist: a Client Organization record with business details (business name, industry sector, business stage), a Client Contact record with the submitting individual’s information, and an Engagement record at Submitted status with mentoring focus areas and mentoring needs description populated.</w:t>
      </w:r>
    </w:p>
    <w:p>
      <w:pPr>
        <w:spacing w:after="4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Manual. The Client Assignment Coordinator reviews the approved submission and begins the matching process. There is no automatic trigger — the coordinator decides when to begin matching for each approved application.</w:t>
      </w:r>
    </w:p>
    <w:p>
      <w:pPr>
        <w:spacing w:after="4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Client Assignment Coordinator (MST-PER-004).</w:t>
      </w:r>
    </w:p>
    <w:p>
      <w:pPr>
        <w:pStyle w:val="Heading1"/>
        <w:spacing w:before="360" w:after="120"/>
      </w:pPr>
      <w:r>
        <w:rPr>
          <w:rFonts w:ascii="Arial" w:cs="Arial" w:eastAsia="Arial" w:hAnsi="Arial"/>
          <w:b/>
          <w:bCs/>
          <w:i w:val="false"/>
          <w:iCs w:val="false"/>
          <w:sz w:val="32"/>
          <w:szCs w:val="32"/>
        </w:rPr>
        <w:t xml:space="preserve">3. Personas Involved</w:t>
      </w:r>
    </w:p>
    <w:p>
      <w:pPr>
        <w:spacing w:after="40"/>
      </w:pPr>
      <w:r>
        <w:rPr>
          <w:rFonts w:ascii="Arial" w:cs="Arial" w:eastAsia="Arial" w:hAnsi="Arial"/>
          <w:b/>
          <w:bCs/>
          <w:i w:val="false"/>
          <w:iCs w:val="false"/>
          <w:sz w:val="22"/>
          <w:szCs w:val="22"/>
        </w:rPr>
        <w:t xml:space="preserve">Client Assignment Coordinator (MST-PER-004)</w:t>
      </w:r>
    </w:p>
    <w:p>
      <w:pPr>
        <w:spacing w:after="120"/>
      </w:pPr>
      <w:r>
        <w:rPr>
          <w:rFonts w:ascii="Arial" w:cs="Arial" w:eastAsia="Arial" w:hAnsi="Arial"/>
          <w:b w:val="false"/>
          <w:bCs w:val="false"/>
          <w:i w:val="false"/>
          <w:iCs w:val="false"/>
          <w:sz w:val="22"/>
          <w:szCs w:val="22"/>
        </w:rPr>
        <w:t xml:space="preserve">Searches the mentor roster, evaluates candidates against client needs, nominates the primary mentor, and activates the assignment upon acceptance.</w:t>
      </w:r>
    </w:p>
    <w:p>
      <w:pPr>
        <w:spacing w:after="40"/>
      </w:pPr>
      <w:r>
        <w:rPr>
          <w:rFonts w:ascii="Arial" w:cs="Arial" w:eastAsia="Arial" w:hAnsi="Arial"/>
          <w:b/>
          <w:bCs/>
          <w:i w:val="false"/>
          <w:iCs w:val="false"/>
          <w:sz w:val="22"/>
          <w:szCs w:val="22"/>
        </w:rPr>
        <w:t xml:space="preserve">Mentor Administrator (MST-PER-005)</w:t>
      </w:r>
    </w:p>
    <w:p>
      <w:pPr>
        <w:spacing w:after="120"/>
      </w:pPr>
      <w:r>
        <w:rPr>
          <w:rFonts w:ascii="Arial" w:cs="Arial" w:eastAsia="Arial" w:hAnsi="Arial"/>
          <w:b w:val="false"/>
          <w:bCs w:val="false"/>
          <w:i w:val="false"/>
          <w:iCs w:val="false"/>
          <w:sz w:val="22"/>
          <w:szCs w:val="22"/>
        </w:rPr>
        <w:t xml:space="preserve">Provides mentor availability and capacity information to support the matching process.</w:t>
      </w:r>
    </w:p>
    <w:p>
      <w:pPr>
        <w:spacing w:after="40"/>
      </w:pPr>
      <w:r>
        <w:rPr>
          <w:rFonts w:ascii="Arial" w:cs="Arial" w:eastAsia="Arial" w:hAnsi="Arial"/>
          <w:b/>
          <w:bCs/>
          <w:i w:val="false"/>
          <w:iCs w:val="false"/>
          <w:sz w:val="22"/>
          <w:szCs w:val="22"/>
        </w:rPr>
        <w:t xml:space="preserve">Mentor (MST-PER-011)</w:t>
      </w:r>
    </w:p>
    <w:p>
      <w:pPr>
        <w:spacing w:after="120"/>
      </w:pPr>
      <w:r>
        <w:rPr>
          <w:rFonts w:ascii="Arial" w:cs="Arial" w:eastAsia="Arial" w:hAnsi="Arial"/>
          <w:b w:val="false"/>
          <w:bCs w:val="false"/>
          <w:i w:val="false"/>
          <w:iCs w:val="false"/>
          <w:sz w:val="22"/>
          <w:szCs w:val="22"/>
        </w:rPr>
        <w:t xml:space="preserve">Receives the assignment notification, reviews the client summary, and accepts or declines the assignment. Upon acceptance, personally introduces themselves to the client.</w:t>
      </w:r>
    </w:p>
    <w:p>
      <w:pPr>
        <w:pStyle w:val="Heading1"/>
        <w:spacing w:before="360" w:after="120"/>
      </w:pPr>
      <w:r>
        <w:rPr>
          <w:rFonts w:ascii="Arial" w:cs="Arial" w:eastAsia="Arial" w:hAnsi="Arial"/>
          <w:b/>
          <w:bCs/>
          <w:i w:val="false"/>
          <w:iCs w:val="false"/>
          <w:sz w:val="32"/>
          <w:szCs w:val="32"/>
        </w:rPr>
        <w:t xml:space="preserve">4. Process Workflow</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Assignment Coordinator reviews the approved client’s Client Organization record (business description, industry sector, business stage) and Engagement record (mentoring focus areas and mentoring needs description).</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Assignment Coordinator searches the active mentor roster. The system provides a list filter that shows only mentors who are Active, currently accepting new clients, and have available capacity. The coordinator filters and evaluates candidates against client needs, considering industry expertise, mentoring focus areas, skills and expertise tags, and language where relevant. The coordinator is not prevented from assigning a mentor who does not meet the filter criteria if they have discussed the assignment with the mentor directly.</w:t>
      </w:r>
    </w:p>
    <w:p>
      <w:pPr>
        <w:pStyle w:val="ListParagraph"/>
        <w:numPr>
          <w:ilvl w:val="0"/>
          <w:numId w:val="2"/>
        </w:numPr>
        <w:spacing w:after="80"/>
      </w:pPr>
      <w:r>
        <w:rPr>
          <w:rFonts w:ascii="Arial" w:cs="Arial" w:eastAsia="Arial" w:hAnsi="Arial"/>
          <w:b w:val="false"/>
          <w:bCs w:val="false"/>
          <w:i w:val="false"/>
          <w:iCs w:val="false"/>
          <w:sz w:val="22"/>
          <w:szCs w:val="22"/>
        </w:rPr>
        <w:t xml:space="preserve">The Client Assignment Coordinator nominates a primary mentor for the engagement. The system automatically changes the Engagement status to Pending Acceptance and sends a notification to the nominated mentor with a summary of the client’s intake information and a request to accept or decline the assignment. A configurable acceptance window applies (default: 48 hours).</w:t>
      </w:r>
    </w:p>
    <w:p>
      <w:pPr>
        <w:pStyle w:val="ListParagraph"/>
        <w:numPr>
          <w:ilvl w:val="0"/>
          <w:numId w:val="2"/>
        </w:numPr>
        <w:spacing w:after="80"/>
      </w:pPr>
      <w:r>
        <w:rPr>
          <w:rFonts w:ascii="Arial" w:cs="Arial" w:eastAsia="Arial" w:hAnsi="Arial"/>
          <w:b w:val="false"/>
          <w:bCs w:val="false"/>
          <w:i w:val="false"/>
          <w:iCs w:val="false"/>
          <w:sz w:val="22"/>
          <w:szCs w:val="22"/>
        </w:rPr>
        <w:t xml:space="preserve">If the mentor accepts: the Engagement status changes to Assigned and the Client Assignment Coordinator is notified.</w:t>
      </w:r>
    </w:p>
    <w:p>
      <w:pPr>
        <w:pStyle w:val="ListParagraph"/>
        <w:numPr>
          <w:ilvl w:val="0"/>
          <w:numId w:val="2"/>
        </w:numPr>
        <w:spacing w:after="80"/>
      </w:pPr>
      <w:r>
        <w:rPr>
          <w:rFonts w:ascii="Arial" w:cs="Arial" w:eastAsia="Arial" w:hAnsi="Arial"/>
          <w:b w:val="false"/>
          <w:bCs w:val="false"/>
          <w:i w:val="false"/>
          <w:iCs w:val="false"/>
          <w:sz w:val="22"/>
          <w:szCs w:val="22"/>
        </w:rPr>
        <w:t xml:space="preserve">If the mentor declines: the Engagement status reverts to Submitted and the Client Assignment Coordinator is notified to nominate a different mentor. No explanation is required from the declining mentor.</w:t>
      </w:r>
    </w:p>
    <w:p>
      <w:pPr>
        <w:pStyle w:val="ListParagraph"/>
        <w:numPr>
          <w:ilvl w:val="0"/>
          <w:numId w:val="2"/>
        </w:numPr>
        <w:spacing w:after="80"/>
      </w:pPr>
      <w:r>
        <w:rPr>
          <w:rFonts w:ascii="Arial" w:cs="Arial" w:eastAsia="Arial" w:hAnsi="Arial"/>
          <w:b w:val="false"/>
          <w:bCs w:val="false"/>
          <w:i w:val="false"/>
          <w:iCs w:val="false"/>
          <w:sz w:val="22"/>
          <w:szCs w:val="22"/>
        </w:rPr>
        <w:t xml:space="preserve">If no response is received within the acceptance window: the Client Assignment Coordinator is alerted to follow up or nominate a different mentor.</w:t>
      </w:r>
    </w:p>
    <w:p>
      <w:pPr>
        <w:pStyle w:val="ListParagraph"/>
        <w:numPr>
          <w:ilvl w:val="0"/>
          <w:numId w:val="2"/>
        </w:numPr>
        <w:spacing w:after="80"/>
      </w:pPr>
      <w:r>
        <w:rPr>
          <w:rFonts w:ascii="Arial" w:cs="Arial" w:eastAsia="Arial" w:hAnsi="Arial"/>
          <w:b w:val="false"/>
          <w:bCs w:val="false"/>
          <w:i w:val="false"/>
          <w:iCs w:val="false"/>
          <w:sz w:val="22"/>
          <w:szCs w:val="22"/>
        </w:rPr>
        <w:t xml:space="preserve">The mentor personally introduces themselves to the client via email. The system provides email templates as a starting point. The introduction is sent by the mentor — not auto-generated by the system.</w:t>
      </w:r>
    </w:p>
    <w:p>
      <w:pPr>
        <w:pStyle w:val="ListParagraph"/>
        <w:numPr>
          <w:ilvl w:val="0"/>
          <w:numId w:val="2"/>
        </w:numPr>
        <w:spacing w:after="80"/>
      </w:pPr>
      <w:r>
        <w:rPr>
          <w:rFonts w:ascii="Arial" w:cs="Arial" w:eastAsia="Arial" w:hAnsi="Arial"/>
          <w:b w:val="false"/>
          <w:bCs w:val="false"/>
          <w:i w:val="false"/>
          <w:iCs w:val="false"/>
          <w:sz w:val="22"/>
          <w:szCs w:val="22"/>
        </w:rPr>
        <w:t xml:space="preserve">The delivery of the Phase 2 supplemental intake form is at the mentor’s discretion. The mentor may include the form link in the introduction email or deploy it after the first session.</w:t>
      </w:r>
    </w:p>
    <w:p>
      <w:pPr>
        <w:spacing w:before="200" w:after="60"/>
      </w:pPr>
      <w:r>
        <w:rPr>
          <w:rFonts w:ascii="Arial" w:cs="Arial" w:eastAsia="Arial" w:hAnsi="Arial"/>
          <w:b/>
          <w:bCs/>
          <w:i w:val="false"/>
          <w:iCs w:val="false"/>
          <w:sz w:val="22"/>
          <w:szCs w:val="22"/>
        </w:rPr>
        <w:t xml:space="preserve">Process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tcMar>
              <w:top w:type="dxa" w:w="200"/>
              <w:left w:type="dxa" w:w="200"/>
              <w:bottom w:type="dxa" w:w="200"/>
              <w:right w:type="dxa" w:w="200"/>
            </w:tcMar>
          </w:tcPr>
          <w:p>
            <w:pPr>
              <w:jc w:val="center"/>
            </w:pPr>
            <w:r>
              <w:rPr>
                <w:rFonts w:ascii="Arial" w:cs="Arial" w:eastAsia="Arial" w:hAnsi="Arial"/>
                <w:b w:val="false"/>
                <w:bCs w:val="false"/>
                <w:i/>
                <w:iCs/>
                <w:color w:val="888888"/>
                <w:sz w:val="20"/>
                <w:szCs w:val="20"/>
              </w:rPr>
              <w:t xml:space="preserve">Workflow diagram to be inserted. Export from draw.io as PNG.</w:t>
            </w:r>
          </w:p>
        </w:tc>
      </w:tr>
    </w:tbl>
    <w:p>
      <w:pPr>
        <w:spacing w:after="200"/>
      </w:pPr>
      <w:r>
        <w:rPr>
          <w:rFonts w:ascii="Arial" w:cs="Arial" w:eastAsia="Arial" w:hAnsi="Arial"/>
          <w:b w:val="false"/>
          <w:bCs w:val="false"/>
          <w:i w:val="false"/>
          <w:iCs w:val="false"/>
          <w:sz w:val="22"/>
          <w:szCs w:val="22"/>
        </w:rPr>
        <w:t xml:space="preserve"/>
      </w:r>
    </w:p>
    <w:p>
      <w:pPr>
        <w:pStyle w:val="Heading1"/>
        <w:spacing w:before="360" w:after="120"/>
      </w:pPr>
      <w:r>
        <w:rPr>
          <w:rFonts w:ascii="Arial" w:cs="Arial" w:eastAsia="Arial" w:hAnsi="Arial"/>
          <w:b/>
          <w:bCs/>
          <w:i w:val="false"/>
          <w:iCs w:val="false"/>
          <w:sz w:val="32"/>
          <w:szCs w:val="32"/>
        </w:rPr>
        <w:t xml:space="preserve">5. Process Completion</w:t>
      </w:r>
    </w:p>
    <w:p>
      <w:pPr>
        <w:spacing w:after="4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A mentor accepts the assignment and personally introduces themselves to the client. The Engagement status is Assigned. The Client Assignment Coordinator is notified of the acceptance.</w:t>
      </w:r>
    </w:p>
    <w:p>
      <w:pPr>
        <w:spacing w:after="40"/>
      </w:pPr>
      <w:r>
        <w:rPr>
          <w:rFonts w:ascii="Arial" w:cs="Arial" w:eastAsia="Arial" w:hAnsi="Arial"/>
          <w:b/>
          <w:bCs/>
          <w:i w:val="false"/>
          <w:iCs w:val="false"/>
          <w:sz w:val="22"/>
          <w:szCs w:val="22"/>
        </w:rPr>
        <w:t xml:space="preserve">Cycle Path: Mentor Declines</w:t>
      </w:r>
    </w:p>
    <w:p>
      <w:pPr>
        <w:spacing w:after="120"/>
      </w:pPr>
      <w:r>
        <w:rPr>
          <w:rFonts w:ascii="Arial" w:cs="Arial" w:eastAsia="Arial" w:hAnsi="Arial"/>
          <w:b w:val="false"/>
          <w:bCs w:val="false"/>
          <w:i w:val="false"/>
          <w:iCs w:val="false"/>
          <w:sz w:val="22"/>
          <w:szCs w:val="22"/>
        </w:rPr>
        <w:t xml:space="preserve">If the nominated mentor declines the assignment, the Engagement status reverts to Submitted and the Client Assignment Coordinator is notified to nominate a different mentor. The process cycles back to candidate selection (workflow step 2). This cycle repeats until a mentor accepts. No explanation is required from the declining mentor.</w:t>
      </w:r>
    </w:p>
    <w:p>
      <w:pPr>
        <w:spacing w:after="40"/>
      </w:pPr>
      <w:r>
        <w:rPr>
          <w:rFonts w:ascii="Arial" w:cs="Arial" w:eastAsia="Arial" w:hAnsi="Arial"/>
          <w:b/>
          <w:bCs/>
          <w:i w:val="false"/>
          <w:iCs w:val="false"/>
          <w:sz w:val="22"/>
          <w:szCs w:val="22"/>
        </w:rPr>
        <w:t xml:space="preserve">Timeout Path: No Response</w:t>
      </w:r>
    </w:p>
    <w:p>
      <w:pPr>
        <w:spacing w:after="120"/>
      </w:pPr>
      <w:r>
        <w:rPr>
          <w:rFonts w:ascii="Arial" w:cs="Arial" w:eastAsia="Arial" w:hAnsi="Arial"/>
          <w:b w:val="false"/>
          <w:bCs w:val="false"/>
          <w:i w:val="false"/>
          <w:iCs w:val="false"/>
          <w:sz w:val="22"/>
          <w:szCs w:val="22"/>
        </w:rPr>
        <w:t xml:space="preserve">If the nominated mentor does not respond within the configurable acceptance window (default: 48 hours), the Client Assignment Coordinator is alerted. The coordinator may follow up with the mentor or nominate a different mentor, returning the process to candidate selection.</w:t>
      </w:r>
    </w:p>
    <w:p>
      <w:pPr>
        <w:spacing w:after="40"/>
      </w:pPr>
      <w:r>
        <w:rPr>
          <w:rFonts w:ascii="Arial" w:cs="Arial" w:eastAsia="Arial" w:hAnsi="Arial"/>
          <w:b/>
          <w:bCs/>
          <w:i w:val="false"/>
          <w:iCs w:val="false"/>
          <w:sz w:val="22"/>
          <w:szCs w:val="22"/>
        </w:rPr>
        <w:t xml:space="preserve">Record Retention</w:t>
      </w:r>
    </w:p>
    <w:p>
      <w:pPr>
        <w:spacing w:after="120"/>
      </w:pPr>
      <w:r>
        <w:rPr>
          <w:rFonts w:ascii="Arial" w:cs="Arial" w:eastAsia="Arial" w:hAnsi="Arial"/>
          <w:b w:val="false"/>
          <w:bCs w:val="false"/>
          <w:i w:val="false"/>
          <w:iCs w:val="false"/>
          <w:sz w:val="22"/>
          <w:szCs w:val="22"/>
        </w:rPr>
        <w:t xml:space="preserve">The system records the candidate mentors considered and the rationale for the final selection (MN-MATCH-REQ-007). All matching history is retained for audit and reporting purposes.</w:t>
      </w:r>
    </w:p>
    <w:p>
      <w:pPr>
        <w:spacing w:after="40"/>
      </w:pPr>
      <w:r>
        <w:rPr>
          <w:rFonts w:ascii="Arial" w:cs="Arial" w:eastAsia="Arial" w:hAnsi="Arial"/>
          <w:b/>
          <w:bCs/>
          <w:i w:val="false"/>
          <w:iCs w:val="false"/>
          <w:sz w:val="22"/>
          <w:szCs w:val="22"/>
        </w:rPr>
        <w:t xml:space="preserve">Post-Completion Handoff</w:t>
      </w:r>
    </w:p>
    <w:p>
      <w:pPr>
        <w:spacing w:after="120"/>
      </w:pPr>
      <w:r>
        <w:rPr>
          <w:rFonts w:ascii="Arial" w:cs="Arial" w:eastAsia="Arial" w:hAnsi="Arial"/>
          <w:b w:val="false"/>
          <w:bCs w:val="false"/>
          <w:i w:val="false"/>
          <w:iCs w:val="false"/>
          <w:sz w:val="22"/>
          <w:szCs w:val="22"/>
        </w:rPr>
        <w:t xml:space="preserve">After the mentor has accepted and introduced themselves, the engagement proceeds to Engagement Management (MN-ENGAGE). The Phase 2 supplemental intake form delivery is at the mentor’s discretion and may occur during or after the introduction.</w:t>
      </w:r>
    </w:p>
    <w:p>
      <w:pPr>
        <w:pStyle w:val="Heading1"/>
        <w:spacing w:before="360" w:after="12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searching and filtering the mentor roster by industry expertise, mentoring focus areas, skills and expertise tags, availability, capacity, and language.</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a list filter on the mentor roster that shows only mentors who are Active, currently accepting new clients, and have available capacity. The filter must not prevent assignment of a mentor who does not meet the filter criteria.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support assignment of a primary mentor to an engagement and automatically transition the Engagement status to Pending Acceptance upon assignment.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notify the nominated mentor automatically with client intake summary and accept/decline options.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enforce a configurable acceptance window and alert the Client Assignment Coordinator when it expires.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revert the Engagement to Submitted status automatically if a mentor declines.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MN-MATCH-REQ-007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record the candidate mentors considered and the rationale for the final selection.</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MN-MATCH-REQ-008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provide email templates for mentor introduction communications.</w:t>
            </w:r>
          </w:p>
        </w:tc>
      </w:tr>
    </w:tbl>
    <w:p>
      <w:pPr>
        <w:pStyle w:val="Heading1"/>
        <w:spacing w:before="360" w:after="12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following fields must already exist for the Mentor Matching process to function. Client Organization and Engagement fields are established by the Client Intake process (MN-INTAKE). Mentor Contact fields are established by the Mentor Recruitment domain (MR).</w:t>
      </w:r>
    </w:p>
    <w:p>
      <w:pPr>
        <w:pStyle w:val="Heading2"/>
        <w:spacing w:before="240" w:after="120"/>
      </w:pPr>
      <w:r>
        <w:rPr>
          <w:rFonts w:ascii="Arial" w:cs="Arial" w:eastAsia="Arial" w:hAnsi="Arial"/>
          <w:b/>
          <w:bCs/>
          <w:i w:val="false"/>
          <w:iCs w:val="false"/>
          <w:sz w:val="28"/>
          <w:szCs w:val="28"/>
        </w:rPr>
        <w:t xml:space="preserve">Entity: Client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legal or operating name of the client business. Reviewed by the coordinator to understand the client’s business context.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Website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 business website address. Reviewed by the coordinator for additional business context.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business address. May be relevant for geographic matching considerations.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Organization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For-Profit, Non-Profit</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organization operates as a for-profit business or a nonprofit. Context for mentor selection.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Business Stage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Pre-Startup, Startup, Early Stage, Growth Stage, Established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stage of business development. Used as a matching criterion — mentors with relevant stage experience are preferred.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 Sector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20 top-level NAICS sectors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industry sector of the client business. Key matching criterion — compared against the mentor’s Industry Sectors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 Subsector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~100 subsectors filtered by Industry Sector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industry subsector. Provides more precise matching beyond the top-level sector.</w:t>
            </w:r>
          </w:p>
        </w:tc>
      </w:tr>
    </w:tbl>
    <w:p>
      <w:pPr>
        <w:spacing w:after="120"/>
      </w:pPr>
      <w:r>
        <w:rPr>
          <w:rFonts w:ascii="Arial" w:cs="Arial" w:eastAsia="Arial" w:hAnsi="Arial"/>
          <w:b w:val="false"/>
          <w:bCs w:val="false"/>
          <w:i w:val="false"/>
          <w:iCs w:val="false"/>
          <w:sz w:val="22"/>
          <w:szCs w:val="22"/>
        </w:rPr>
        <w:t xml:space="preserve"/>
      </w:r>
    </w:p>
    <w:p>
      <w:pPr>
        <w:pStyle w:val="Heading2"/>
        <w:spacing w:before="240" w:after="120"/>
      </w:pPr>
      <w:r>
        <w:rPr>
          <w:rFonts w:ascii="Arial" w:cs="Arial" w:eastAsia="Arial" w:hAnsi="Arial"/>
          <w:b/>
          <w:bCs/>
          <w:i w:val="false"/>
          <w:iCs w:val="false"/>
          <w:sz w:val="28"/>
          <w:szCs w:val="28"/>
        </w:rPr>
        <w:t xml:space="preserve">Entity: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lifecycle stage. This process reads Submitted engagements and transitions them through Pending Acceptance to Assigned (or back to Submitted on decline).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MN-INTAKE-ISS-001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MN-MATCH-DAT-009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areas where the client is seeking mentoring assistance. Primary matching criterion — compared against the mentor’s Mentoring Focus Areas field.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 Needs Description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client’s own description of what they are looking for. Reviewed by the coordinator to understand nuances beyond the structured matching fields.</w:t>
            </w:r>
          </w:p>
        </w:tc>
      </w:tr>
    </w:tbl>
    <w:p>
      <w:pPr>
        <w:spacing w:after="120"/>
      </w:pPr>
      <w:r>
        <w:rPr>
          <w:rFonts w:ascii="Arial" w:cs="Arial" w:eastAsia="Arial" w:hAnsi="Arial"/>
          <w:b w:val="false"/>
          <w:bCs w:val="false"/>
          <w:i w:val="false"/>
          <w:iCs w:val="false"/>
          <w:sz w:val="22"/>
          <w:szCs w:val="22"/>
        </w:rPr>
        <w:t xml:space="preserve"/>
      </w:r>
    </w:p>
    <w:p>
      <w:pPr>
        <w:pStyle w:val="Heading2"/>
        <w:spacing w:before="240" w:after="120"/>
      </w:pPr>
      <w:r>
        <w:rPr>
          <w:rFonts w:ascii="Arial" w:cs="Arial" w:eastAsia="Arial" w:hAnsi="Arial"/>
          <w:b/>
          <w:bCs/>
          <w:i w:val="false"/>
          <w:iCs w:val="false"/>
          <w:sz w:val="28"/>
          <w:szCs w:val="28"/>
        </w:rPr>
        <w:t xml:space="preserve">Entity: Mentor Contact</w:t>
      </w:r>
    </w:p>
    <w:p>
      <w:pPr>
        <w:spacing w:after="120"/>
      </w:pPr>
      <w:r>
        <w:rPr>
          <w:rFonts w:ascii="Arial" w:cs="Arial" w:eastAsia="Arial" w:hAnsi="Arial"/>
          <w:b w:val="false"/>
          <w:bCs w:val="false"/>
          <w:i w:val="false"/>
          <w:iCs w:val="false"/>
          <w:sz w:val="22"/>
          <w:szCs w:val="22"/>
        </w:rPr>
        <w:t xml:space="preserve">The following fields are defined by the Mentor Recruitment domain (MR) and referenced here for matching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Industry Sectors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Same values as Client Organization Industry Sector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industry sectors in which the mentor has professional experience. Compared against the client’s Industry Sector for matching.</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Mentoring Focus Areas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Same values as Engagement Mentoring Focus Areas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areas where the mentor can provide guidance. Compared against the client’s Mentoring Focus Areas for matching.</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Skills and Expertise Tags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MR-ISS-001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Finer-grained expertise tags for advanced matching beyond industry sector and focus areas.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Fluent Languages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Languages the mentor is fluent in. Used to match clients who prefer to work in a language other than English.</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 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In Review, Provisional, Active, Paused, Inactive, Resigned, Departed, Declined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lifecycle stage of the mentor. Only Active mentors are eligible for new client assignments.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Accepting New Clients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is currently available for new assignments. Must be Yes for a nomination to proceed.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Maximum Client Capacity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maximum number of simultaneous active client engagements this mentor will accept.</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Available Capacity</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number of additional client engagements this mentor can currently accept. System-calculated. Must be greater than zero for a nomination to proceed.</w:t>
            </w:r>
          </w:p>
        </w:tc>
      </w:tr>
    </w:tbl>
    <w:p>
      <w:pPr>
        <w:pStyle w:val="Heading1"/>
        <w:spacing w:before="360" w:after="12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Engagement fields are populated during the matching and assignment process.</w:t>
      </w:r>
    </w:p>
    <w:p>
      <w:pPr>
        <w:pStyle w:val="Heading2"/>
        <w:spacing w:before="240" w:after="120"/>
      </w:pPr>
      <w:r>
        <w:rPr>
          <w:rFonts w:ascii="Arial" w:cs="Arial" w:eastAsia="Arial" w:hAnsi="Arial"/>
          <w:b/>
          <w:bCs/>
          <w:i w:val="false"/>
          <w:iCs w:val="false"/>
          <w:sz w:val="28"/>
          <w:szCs w:val="28"/>
        </w:rPr>
        <w:t xml:space="preserve">Entity: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Assigned Mentor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primary volunteer mentor assigned to this engagement. Set by the Client Assignment Coordinator during the matching process. Required when status is Assigned or later.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Submitted, Declined, Pending Acceptance, Assigned, Active, On-Hold, Dormant, Inactive, Abandoned, Completed</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MN-MATCH-DAT-020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Updated by this process: transitions from Submitted to Pending Acceptance when a mentor is nominated, to Assigned when the mentor accepts, or back to Submitted if the mentor declines.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Engagement Contacts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 (many)</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specific individuals from the client organization actively participating in this engagement. Determines who receives meeting requests and session summary emails. Defaults to Primary Contact if empty.</w:t>
            </w:r>
          </w:p>
        </w:tc>
      </w:tr>
    </w:tbl>
    <w:p>
      <w:pPr>
        <w:pStyle w:val="Heading1"/>
        <w:spacing w:before="360" w:after="12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No open issues specific to Mentor Matching (MN-MATCH) were identified. Two fields in this document reference unresolved issues owned by other processes:</w:t>
      </w:r>
    </w:p>
    <w:p>
      <w:pPr>
        <w:pStyle w:val="ListParagraph"/>
        <w:numPr>
          <w:ilvl w:val="0"/>
          <w:numId w:val="3"/>
        </w:numPr>
        <w:spacing w:after="60"/>
      </w:pPr>
      <w:r>
        <w:rPr>
          <w:rFonts w:ascii="Arial" w:cs="Arial" w:eastAsia="Arial" w:hAnsi="Arial"/>
          <w:b w:val="false"/>
          <w:bCs w:val="false"/>
          <w:i w:val="false"/>
          <w:iCs w:val="false"/>
          <w:sz w:val="22"/>
          <w:szCs w:val="22"/>
        </w:rPr>
        <w:t xml:space="preserve">Mentoring Focus Areas (MN-MATCH-DAT-009, MN-MATCH-DAT-012): Values are TBD, pending resolution of MN-INTAKE-ISS-001.</w:t>
      </w:r>
    </w:p>
    <w:p>
      <w:pPr>
        <w:pStyle w:val="ListParagraph"/>
        <w:numPr>
          <w:ilvl w:val="0"/>
          <w:numId w:val="3"/>
        </w:numPr>
        <w:spacing w:after="60"/>
      </w:pPr>
      <w:r>
        <w:rPr>
          <w:rFonts w:ascii="Arial" w:cs="Arial" w:eastAsia="Arial" w:hAnsi="Arial"/>
          <w:b w:val="false"/>
          <w:bCs w:val="false"/>
          <w:i w:val="false"/>
          <w:iCs w:val="false"/>
          <w:sz w:val="22"/>
          <w:szCs w:val="22"/>
        </w:rPr>
        <w:t xml:space="preserve">Skills and Expertise Tags (MN-MATCH-DAT-013): Values are TBD, pending resolution of MR-ISS-001 in the Mentor Recruitment domain.</w:t>
      </w:r>
    </w:p>
    <w:p>
      <w:pPr>
        <w:pStyle w:val="Heading1"/>
        <w:spacing w:before="360" w:after="12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No updates to prior documents were identified during this restructuring.</w:t>
      </w:r>
    </w:p>
    <w:p>
      <w:pPr>
        <w:pStyle w:val="Heading1"/>
        <w:spacing w:before="360" w:after="120"/>
      </w:pPr>
      <w:r>
        <w:rPr>
          <w:rFonts w:ascii="Arial" w:cs="Arial" w:eastAsia="Arial" w:hAnsi="Arial"/>
          <w:b/>
          <w:bCs/>
          <w:i w:val="false"/>
          <w:iCs w:val="false"/>
          <w:sz w:val="32"/>
          <w:szCs w:val="32"/>
        </w:rPr>
        <w:t xml:space="preserve">11. Interview Transcript</w:t>
      </w:r>
    </w:p>
    <w:p>
      <w:pPr>
        <w:spacing w:after="120"/>
      </w:pPr>
      <w:r>
        <w:rPr>
          <w:rFonts w:ascii="Arial" w:cs="Arial" w:eastAsia="Arial" w:hAnsi="Arial"/>
          <w:b w:val="false"/>
          <w:bCs w:val="false"/>
          <w:i w:val="false"/>
          <w:iCs w:val="false"/>
          <w:sz w:val="22"/>
          <w:szCs w:val="22"/>
        </w:rPr>
        <w:t xml:space="preserve">This document was not produced through a live interview. The content was originally extracted from CBM-Domain-PRD-Mentoring.md v1.0 and restructured into the process document format. During the v2.0 restructuring, several workflow and requirements changes were made based on discussion with the administrator.</w:t>
      </w:r>
    </w:p>
    <w:p>
      <w:pPr>
        <w:spacing w:after="40"/>
      </w:pPr>
      <w:r>
        <w:rPr>
          <w:rFonts w:ascii="Arial" w:cs="Arial" w:eastAsia="Arial" w:hAnsi="Arial"/>
          <w:b/>
          <w:bCs/>
          <w:i w:val="false"/>
          <w:iCs w:val="false"/>
          <w:sz w:val="22"/>
          <w:szCs w:val="22"/>
        </w:rPr>
        <w:t xml:space="preserve">Document Origin</w:t>
      </w:r>
    </w:p>
    <w:p>
      <w:pPr>
        <w:spacing w:after="40"/>
      </w:pPr>
      <w:r>
        <w:rPr>
          <w:rFonts w:ascii="Arial" w:cs="Arial" w:eastAsia="Arial" w:hAnsi="Arial"/>
          <w:b w:val="false"/>
          <w:bCs w:val="false"/>
          <w:i/>
          <w:iCs/>
          <w:sz w:val="22"/>
          <w:szCs w:val="22"/>
        </w:rPr>
        <w:t xml:space="preserve">Q: What is the source material for this process document?</w:t>
      </w:r>
    </w:p>
    <w:p>
      <w:pPr>
        <w:spacing w:after="80"/>
      </w:pPr>
      <w:r>
        <w:rPr>
          <w:rFonts w:ascii="Arial" w:cs="Arial" w:eastAsia="Arial" w:hAnsi="Arial"/>
          <w:b w:val="false"/>
          <w:bCs w:val="false"/>
          <w:i w:val="false"/>
          <w:iCs w:val="false"/>
          <w:sz w:val="22"/>
          <w:szCs w:val="22"/>
        </w:rPr>
        <w:t xml:space="preserve">A: The Mentor Matching process was extracted from Section 4 (Mentoring Domain) of CBM-Domain-PRD-Mentoring.md v1.0, which documented the full Mentoring lifecycle based on interviews with the CBM administrator.</w:t>
      </w:r>
    </w:p>
    <w:p>
      <w:pPr>
        <w:spacing w:after="40"/>
      </w:pPr>
      <w:r>
        <w:rPr>
          <w:rFonts w:ascii="Arial" w:cs="Arial" w:eastAsia="Arial" w:hAnsi="Arial"/>
          <w:b/>
          <w:bCs/>
          <w:i w:val="false"/>
          <w:iCs w:val="false"/>
          <w:sz w:val="22"/>
          <w:szCs w:val="22"/>
        </w:rPr>
        <w:t xml:space="preserve">Mentor Eligibility Verification</w:t>
      </w:r>
    </w:p>
    <w:p>
      <w:pPr>
        <w:spacing w:after="40"/>
      </w:pPr>
      <w:r>
        <w:rPr>
          <w:rFonts w:ascii="Arial" w:cs="Arial" w:eastAsia="Arial" w:hAnsi="Arial"/>
          <w:b w:val="false"/>
          <w:bCs w:val="false"/>
          <w:i/>
          <w:iCs/>
          <w:sz w:val="22"/>
          <w:szCs w:val="22"/>
        </w:rPr>
        <w:t xml:space="preserve">Q: The original workflow step 4 stated “The system verifies the nominated mentor is Active, currently accepting new clients, and has available capacity.” This implies an automated validation at nomination time. How should the system handle eligibility checking?</w:t>
      </w:r>
    </w:p>
    <w:p>
      <w:pPr>
        <w:spacing w:after="40"/>
      </w:pPr>
      <w:r>
        <w:rPr>
          <w:rFonts w:ascii="Arial" w:cs="Arial" w:eastAsia="Arial" w:hAnsi="Arial"/>
          <w:b w:val="false"/>
          <w:bCs w:val="false"/>
          <w:i w:val="false"/>
          <w:iCs w:val="false"/>
          <w:sz w:val="22"/>
          <w:szCs w:val="22"/>
        </w:rPr>
        <w:t xml:space="preserve">A: The concern is that a validation-at-nomination approach creates a poor user experience — the coordinator picks a mentor, gets rejected, picks another, gets rejected, with no way to know in advance who is eligible. A list filter is a better design because it shows the coordinator only eligible mentors upfront. However, the filter should not be a hard restriction — the coordinator should be able to assign a mentor who doesn’t meet the filter criteria if they have discussed the assignment with the mentor directly.</w:t>
      </w:r>
    </w:p>
    <w:p>
      <w:pPr>
        <w:spacing w:after="80"/>
      </w:pPr>
      <w:r>
        <w:rPr>
          <w:rFonts w:ascii="Arial" w:cs="Arial" w:eastAsia="Arial" w:hAnsi="Arial"/>
          <w:b/>
          <w:bCs/>
          <w:i w:val="false"/>
          <w:iCs w:val="false"/>
          <w:sz w:val="22"/>
          <w:szCs w:val="22"/>
        </w:rPr>
        <w:t xml:space="preserve">Decision: Replaced the system verification step with a list filter in the search step. The filter shows only Active mentors who are accepting new clients and have available capacity, but does not prevent the coordinator from overriding it. REQ-002 updated from “prevent nomination” to “provide a list filter.” Workflow reduced from 11 steps to 8.</w:t>
      </w:r>
    </w:p>
    <w:p>
      <w:pPr>
        <w:spacing w:after="40"/>
      </w:pPr>
      <w:r>
        <w:rPr>
          <w:rFonts w:ascii="Arial" w:cs="Arial" w:eastAsia="Arial" w:hAnsi="Arial"/>
          <w:b/>
          <w:bCs/>
          <w:i w:val="false"/>
          <w:iCs w:val="false"/>
          <w:sz w:val="22"/>
          <w:szCs w:val="22"/>
        </w:rPr>
        <w:t xml:space="preserve">Engagement Status Transition on Assignment</w:t>
      </w:r>
    </w:p>
    <w:p>
      <w:pPr>
        <w:spacing w:after="40"/>
      </w:pPr>
      <w:r>
        <w:rPr>
          <w:rFonts w:ascii="Arial" w:cs="Arial" w:eastAsia="Arial" w:hAnsi="Arial"/>
          <w:b w:val="false"/>
          <w:bCs w:val="false"/>
          <w:i/>
          <w:iCs/>
          <w:sz w:val="22"/>
          <w:szCs w:val="22"/>
        </w:rPr>
        <w:t xml:space="preserve">Q: The original workflow had separate steps for selecting a mentor (step 3), system verification (step 4), status change to Pending Acceptance (step 5), and sending the notification (step 6). With the verification step removed, how should the status change and notification work?</w:t>
      </w:r>
    </w:p>
    <w:p>
      <w:pPr>
        <w:spacing w:after="40"/>
      </w:pPr>
      <w:r>
        <w:rPr>
          <w:rFonts w:ascii="Arial" w:cs="Arial" w:eastAsia="Arial" w:hAnsi="Arial"/>
          <w:b w:val="false"/>
          <w:bCs w:val="false"/>
          <w:i w:val="false"/>
          <w:iCs w:val="false"/>
          <w:sz w:val="22"/>
          <w:szCs w:val="22"/>
        </w:rPr>
        <w:t xml:space="preserve">A: The status change to Pending Acceptance and the notification should happen automatically when the coordinator assigns a mentor. The coordinator’s intent is “I want to offer this engagement to this mentor” — the status change and notification are consequences of that action, not separate manual steps.</w:t>
      </w:r>
    </w:p>
    <w:p>
      <w:pPr>
        <w:spacing w:after="80"/>
      </w:pPr>
      <w:r>
        <w:rPr>
          <w:rFonts w:ascii="Arial" w:cs="Arial" w:eastAsia="Arial" w:hAnsi="Arial"/>
          <w:b/>
          <w:bCs/>
          <w:i w:val="false"/>
          <w:iCs w:val="false"/>
          <w:sz w:val="22"/>
          <w:szCs w:val="22"/>
        </w:rPr>
        <w:t xml:space="preserve">Decision: Merged mentor selection, status transition, and notification into a single workflow step (step 3). The system automatically transitions to Pending Acceptance and sends the notification upon assignment. REQ-003 updated to include the automatic status transition.</w:t>
      </w:r>
    </w:p>
    <w:p>
      <w:pPr>
        <w:spacing w:after="40"/>
      </w:pPr>
      <w:r>
        <w:rPr>
          <w:rFonts w:ascii="Arial" w:cs="Arial" w:eastAsia="Arial" w:hAnsi="Arial"/>
          <w:b/>
          <w:bCs/>
          <w:i w:val="false"/>
          <w:iCs w:val="false"/>
          <w:sz w:val="22"/>
          <w:szCs w:val="22"/>
        </w:rPr>
        <w:t xml:space="preserve">V2.0 Restructuring</w:t>
      </w:r>
    </w:p>
    <w:p>
      <w:pPr>
        <w:spacing w:after="120"/>
      </w:pPr>
      <w:r>
        <w:rPr>
          <w:rFonts w:ascii="Arial" w:cs="Arial" w:eastAsia="Arial" w:hAnsi="Arial"/>
          <w:b w:val="false"/>
          <w:bCs w:val="false"/>
          <w:i w:val="false"/>
          <w:iCs w:val="false"/>
          <w:sz w:val="22"/>
          <w:szCs w:val="22"/>
        </w:rPr>
        <w:t xml:space="preserve">This version restructures the document from the original six-section format to the v2.4 eleven-section format. New sections (Process Triggers, Process Completion, Open Issues, Updates to Prior Documents, Interview Transcript) were added. Field type names were updated to use the authoritative type list (e.g., Text → varchar, Dropdown → enum, Multi-select → multiEnum, Integer → int, Yes/No → bool, Relationship preserved as relationship). The TBD reference for Mentoring Focus Areas was updated from MN-ISS-001 to MN-INTAKE-ISS-001 to use the proper namespaced identifier. The workflow was revised from 11 steps to 8, replacing the system verification step with a list filter and merging the nomination, status transition, and notification into a single step. REQ-002 and REQ-003 were updated accordingly.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Mentoring 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Mentor Matching (MN-MATCH)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2026-03-31T20:46:36.508Z</dcterms:created>
  <dcterms:modified xsi:type="dcterms:W3CDTF">2026-03-31T20:46:36.509Z</dcterms:modified>
</cp:coreProperties>
</file>

<file path=docProps/custom.xml><?xml version="1.0" encoding="utf-8"?>
<Properties xmlns="http://schemas.openxmlformats.org/officeDocument/2006/custom-properties" xmlns:vt="http://schemas.openxmlformats.org/officeDocument/2006/docPropsVTypes"/>
</file>