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880" w:after="240"/>
        <w:jc w:val="center"/>
        <w:rPr>
          <w:rFonts w:ascii="Arial" w:hAnsi="Arial" w:eastAsia="Arial" w:cs="Arial"/>
          <w:b/>
          <w:bCs/>
          <w:color w:val="2E75B6"/>
          <w:sz w:val="56"/>
          <w:szCs w:val="56"/>
        </w:rPr>
      </w:pPr>
      <w:r>
        <w:rPr>
          <w:rFonts w:eastAsia="Arial" w:cs="Arial"/>
          <w:b/>
          <w:bCs/>
          <w:color w:val="2E75B6"/>
          <w:sz w:val="56"/>
          <w:szCs w:val="56"/>
        </w:rPr>
        <w:t>EspoCRM</w:t>
      </w:r>
    </w:p>
    <w:p>
      <w:pPr>
        <w:pStyle w:val="Normal"/>
        <w:bidi w:val="0"/>
        <w:spacing w:before="0" w:after="120"/>
        <w:jc w:val="center"/>
        <w:rPr>
          <w:rFonts w:ascii="Arial" w:hAnsi="Arial" w:eastAsia="Arial" w:cs="Arial"/>
          <w:color w:val="595959"/>
          <w:sz w:val="40"/>
          <w:szCs w:val="40"/>
        </w:rPr>
      </w:pPr>
      <w:r>
        <w:rPr>
          <w:rFonts w:eastAsia="Arial" w:cs="Arial"/>
          <w:color w:val="595959"/>
          <w:sz w:val="40"/>
          <w:szCs w:val="40"/>
        </w:rPr>
        <w:t>How To Guide</w:t>
      </w:r>
    </w:p>
    <w:p>
      <w:pPr>
        <w:pStyle w:val="Normal"/>
        <w:bidi w:val="0"/>
        <w:spacing w:before="0" w:after="2400"/>
        <w:jc w:val="center"/>
        <w:rPr>
          <w:rFonts w:ascii="Arial" w:hAnsi="Arial" w:eastAsia="Arial" w:cs="Arial"/>
          <w:i/>
          <w:i/>
          <w:iCs/>
          <w:color w:val="595959"/>
          <w:sz w:val="26"/>
          <w:szCs w:val="26"/>
        </w:rPr>
      </w:pPr>
      <w:r>
        <w:rPr>
          <w:rFonts w:eastAsia="Arial" w:cs="Arial"/>
          <w:i/>
          <w:iCs/>
          <w:color w:val="595959"/>
          <w:sz w:val="26"/>
          <w:szCs w:val="26"/>
        </w:rPr>
        <w:t>Cleveland Business Mentors</w:t>
      </w:r>
    </w:p>
    <w:p>
      <w:pPr>
        <w:pStyle w:val="Normal"/>
        <w:pBdr>
          <w:bottom w:val="single" w:sz="6" w:space="1" w:color="2E75B6"/>
        </w:pBdr>
        <w:bidi w:val="0"/>
        <w:jc w:val="start"/>
        <w:rPr/>
      </w:pPr>
      <w:r>
        <w:rPr/>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880"/>
        <w:gridCol w:w="6479"/>
      </w:tblGrid>
      <w:tr>
        <w:trPr/>
        <w:tc>
          <w:tcPr>
            <w:tcW w:w="28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647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Document</w:t>
            </w:r>
          </w:p>
        </w:tc>
        <w:tc>
          <w:tcPr>
            <w:tcW w:w="64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EspoCRM How To Guide</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Owner</w:t>
            </w:r>
          </w:p>
        </w:tc>
        <w:tc>
          <w:tcPr>
            <w:tcW w:w="64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Cleveland Business Mentors</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Version</w:t>
            </w:r>
          </w:p>
        </w:tc>
        <w:tc>
          <w:tcPr>
            <w:tcW w:w="64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2.0</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Last Updated</w:t>
            </w:r>
          </w:p>
        </w:tc>
        <w:tc>
          <w:tcPr>
            <w:tcW w:w="64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05-20-26 05:45</w:t>
            </w:r>
          </w:p>
        </w:tc>
      </w:tr>
    </w:tbl>
    <w:p>
      <w:pPr>
        <w:pStyle w:val="Normal"/>
        <w:bidi w:val="0"/>
        <w:jc w:val="start"/>
        <w:rPr/>
      </w:pPr>
      <w:r>
        <w:rPr/>
      </w:r>
    </w:p>
    <w:p>
      <w:pPr>
        <w:pStyle w:val="Normal"/>
        <w:bidi w:val="0"/>
        <w:jc w:val="start"/>
        <w:rPr/>
      </w:pPr>
      <w:r>
        <w:rPr/>
      </w:r>
    </w:p>
    <w:p>
      <w:pPr>
        <w:pStyle w:val="Normal"/>
        <w:bidi w:val="0"/>
        <w:jc w:val="start"/>
        <w:rPr>
          <w:rFonts w:ascii="Arial" w:hAnsi="Arial" w:eastAsia="Arial" w:cs="Arial"/>
          <w:b/>
          <w:bCs/>
          <w:color w:val="2E75B6"/>
          <w:sz w:val="28"/>
          <w:szCs w:val="28"/>
        </w:rPr>
      </w:pPr>
      <w:r>
        <w:rPr>
          <w:rFonts w:eastAsia="Arial" w:cs="Arial"/>
          <w:b/>
          <w:bCs/>
          <w:color w:val="2E75B6"/>
          <w:sz w:val="28"/>
          <w:szCs w:val="28"/>
        </w:rPr>
        <w:t>Table of Contents</w:t>
      </w:r>
    </w:p>
    <w:p>
      <w:pPr>
        <w:pStyle w:val="Normal"/>
        <w:bidi w:val="0"/>
        <w:jc w:val="start"/>
        <w:rPr/>
      </w:pPr>
      <w:r>
        <w:rPr/>
      </w:r>
    </w:p>
    <w:sdt>
      <w:sdtPr>
        <w:docPartObj>
          <w:docPartGallery w:val="Table of Contents"/>
          <w:docPartUnique w:val="true"/>
        </w:docPartObj>
      </w:sdtPr>
      <w:sdtContent>
        <w:p>
          <w:pPr>
            <w:pStyle w:val="Normal"/>
            <w:widowControl w:val="false"/>
            <w:suppressAutoHyphens w:val="true"/>
            <w:overflowPunct w:val="false"/>
            <w:bidi w:val="0"/>
            <w:spacing w:before="0" w:after="0"/>
            <w:jc w:val="start"/>
            <w:rPr>
              <w:rFonts w:ascii="Arial" w:hAnsi="Arial" w:eastAsia="Arial" w:cs="Arial"/>
              <w:color w:val="auto"/>
              <w:kern w:val="0"/>
              <w:sz w:val="22"/>
              <w:szCs w:val="22"/>
              <w:lang w:val="en-US" w:eastAsia="zh-CN" w:bidi="hi-IN"/>
            </w:rPr>
          </w:pPr>
          <w:r>
            <w:fldChar w:fldCharType="begin"/>
          </w:r>
          <w:r>
            <w:rPr>
              <w:sz w:val="22"/>
              <w:kern w:val="0"/>
              <w:szCs w:val="22"/>
              <w:rFonts w:eastAsia="Arial" w:cs="Arial"/>
              <w:color w:val="auto"/>
              <w:lang w:val="en-US" w:eastAsia="zh-CN" w:bidi="hi-IN"/>
            </w:rPr>
            <w:instrText xml:space="preserve"> TOC \o "1-2" \h</w:instrText>
          </w:r>
          <w:r>
            <w:rPr>
              <w:sz w:val="22"/>
              <w:kern w:val="0"/>
              <w:szCs w:val="22"/>
              <w:rFonts w:eastAsia="Arial" w:cs="Arial"/>
              <w:color w:val="auto"/>
              <w:lang w:val="en-US" w:eastAsia="zh-CN" w:bidi="hi-IN"/>
            </w:rPr>
            <w:fldChar w:fldCharType="separate"/>
          </w:r>
          <w:sdt>
            <w:sdtPr>
              <w:alias w:val="Table of Contents"/>
              <w:text/>
            </w:sdtPr>
            <w:sdtContent>
              <w:r>
                <w:rPr>
                  <w:rFonts w:eastAsia="Arial" w:cs="Arial"/>
                  <w:color w:val="auto"/>
                  <w:kern w:val="0"/>
                  <w:sz w:val="22"/>
                  <w:szCs w:val="22"/>
                  <w:lang w:val="en-US" w:eastAsia="zh-CN" w:bidi="hi-IN"/>
                </w:rPr>
              </w:r>
              <w:r>
                <w:rPr>
                  <w:rFonts w:eastAsia="Arial" w:cs="Arial"/>
                  <w:color w:val="auto"/>
                  <w:kern w:val="0"/>
                  <w:sz w:val="22"/>
                  <w:szCs w:val="22"/>
                  <w:lang w:val="en-US" w:eastAsia="zh-CN" w:bidi="hi-IN"/>
                </w:rPr>
              </w:r>
            </w:sdtContent>
          </w:sdt>
          <w:r>
            <w:rPr>
              <w:sz w:val="22"/>
              <w:kern w:val="0"/>
              <w:szCs w:val="22"/>
              <w:rFonts w:eastAsia="Arial" w:cs="Arial"/>
              <w:color w:val="auto"/>
              <w:lang w:val="en-US" w:eastAsia="zh-CN" w:bidi="hi-IN"/>
            </w:rPr>
            <w:fldChar w:fldCharType="end"/>
          </w:r>
        </w:p>
      </w:sdtContent>
    </w:sdt>
    <w:p>
      <w:pPr>
        <w:pStyle w:val="Normal"/>
        <w:bidi w:val="0"/>
        <w:jc w:val="start"/>
        <w:rPr/>
      </w:pPr>
      <w:r>
        <w:rPr/>
      </w:r>
    </w:p>
    <w:p>
      <w:pPr>
        <w:pStyle w:val="Normal"/>
        <w:bidi w:val="0"/>
        <w:jc w:val="start"/>
        <w:rPr/>
      </w:pPr>
      <w:r>
        <w:rPr/>
      </w:r>
    </w:p>
    <w:p>
      <w:pPr>
        <w:pStyle w:val="Normal"/>
        <w:bidi w:val="0"/>
        <w:jc w:val="start"/>
        <w:rPr/>
      </w:pPr>
      <w:r>
        <w:rPr/>
      </w:r>
    </w:p>
    <w:p>
      <w:pPr>
        <w:pStyle w:val="Heading1"/>
        <w:bidi w:val="0"/>
        <w:ind w:hanging="0" w:start="0"/>
        <w:jc w:val="start"/>
        <w:rPr>
          <w:rFonts w:ascii="Arial" w:hAnsi="Arial" w:eastAsia="Arial" w:cs="Arial"/>
          <w:b/>
          <w:bCs/>
          <w:color w:val="2E75B6"/>
          <w:sz w:val="32"/>
          <w:szCs w:val="32"/>
        </w:rPr>
      </w:pPr>
      <w:r>
        <w:rPr>
          <w:rFonts w:eastAsia="Arial" w:cs="Arial" w:ascii="Arial" w:hAnsi="Arial"/>
          <w:b/>
          <w:bCs/>
          <w:color w:val="2E75B6"/>
          <w:sz w:val="32"/>
          <w:szCs w:val="32"/>
        </w:rPr>
        <w:t>Entity Configuration</w:t>
      </w:r>
    </w:p>
    <w:p>
      <w:pPr>
        <w:pStyle w:val="Normal"/>
        <w:bidi w:val="0"/>
        <w:jc w:val="start"/>
        <w:rPr/>
      </w:pPr>
      <w:r>
        <w:rPr/>
      </w:r>
    </w:p>
    <w:p>
      <w:pPr>
        <w:pStyle w:val="Heading2"/>
        <w:numPr>
          <w:ilvl w:val="0"/>
          <w:numId w:val="0"/>
        </w:numPr>
        <w:bidi w:val="0"/>
        <w:spacing w:before="240" w:after="120"/>
        <w:ind w:hanging="0" w:start="0"/>
        <w:jc w:val="start"/>
        <w:rPr/>
      </w:pPr>
      <w:r>
        <w:rPr>
          <w:rFonts w:eastAsia="Arial" w:cs="Arial" w:ascii="Arial" w:hAnsi="Arial"/>
          <w:b/>
          <w:bCs/>
          <w:color w:val="2E75B6"/>
          <w:sz w:val="26"/>
          <w:szCs w:val="26"/>
        </w:rPr>
        <w:t>1. Defining an Entity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An entity in EspoCRM is a data object type — essentially a database table with a corresponding UI (list view, detail view, edit form). Custom entities are created through Entity Manager and can be tailored to fit any business need.</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1.1 Overview</w:t>
      </w:r>
    </w:p>
    <w:p>
      <w:pPr>
        <w:pStyle w:val="Normal"/>
        <w:bidi w:val="0"/>
        <w:spacing w:before="0" w:after="120"/>
        <w:jc w:val="start"/>
        <w:rPr>
          <w:rFonts w:ascii="Arial" w:hAnsi="Arial" w:eastAsia="Arial" w:cs="Arial"/>
          <w:sz w:val="22"/>
          <w:szCs w:val="22"/>
        </w:rPr>
      </w:pPr>
      <w:r>
        <w:rPr>
          <w:rFonts w:eastAsia="Arial" w:cs="Arial"/>
          <w:sz w:val="22"/>
          <w:szCs w:val="22"/>
        </w:rPr>
        <w:t>EspoCRM ships with built-in entities such as Contact, Account, and Meeting. When none of the built-in entities fits your use case, you create a custom entity. For CBM, the Engagement entity is an example of a custom entity created to track mentor-client assignments.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 Entity Types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you create a custom entity, EspoCRM requires you to select an Entity Type (referred to internally as a "template"). This choice determines the default fields the entity will have, which built-in side panels appear on the detail view, whether the entity supports calendar display, and how name fields are structured. The Entity Type is a structural decision made at creation time. Changing it afterward requires manual edits to PHP class definitions and JSON metadata files on the server — it cannot be done through the Admin UI. Choose carefully before saving.</w:t>
      </w:r>
    </w:p>
    <w:p>
      <w:pPr>
        <w:pStyle w:val="Normal"/>
        <w:bidi w:val="0"/>
        <w:jc w:val="start"/>
        <w:rPr/>
      </w:pPr>
      <w:r>
        <w:rPr/>
      </w:r>
    </w:p>
    <w:p>
      <w:pPr>
        <w:pStyle w:val="Normal"/>
        <w:bidi w:val="0"/>
        <w:spacing w:before="0" w:after="120"/>
        <w:jc w:val="start"/>
        <w:rPr>
          <w:rFonts w:ascii="Arial" w:hAnsi="Arial" w:eastAsia="Arial" w:cs="Arial"/>
          <w:b/>
          <w:bCs/>
          <w:sz w:val="22"/>
          <w:szCs w:val="22"/>
        </w:rPr>
      </w:pPr>
      <w:r>
        <w:rPr>
          <w:rFonts w:eastAsia="Arial" w:cs="Arial"/>
          <w:b/>
          <w:bCs/>
          <w:sz w:val="22"/>
          <w:szCs w:val="22"/>
        </w:rPr>
        <w:t>Available Entity Types: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1500"/>
        <w:gridCol w:w="5060"/>
        <w:gridCol w:w="2800"/>
      </w:tblGrid>
      <w:tr>
        <w:trPr/>
        <w:tc>
          <w:tcPr>
            <w:tcW w:w="15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Type</w:t>
            </w:r>
          </w:p>
        </w:tc>
        <w:tc>
          <w:tcPr>
            <w:tcW w:w="50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What You Get</w:t>
            </w:r>
          </w:p>
        </w:tc>
        <w:tc>
          <w:tcPr>
            <w:tcW w:w="28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Best For</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system fields only (Name, Description, Assigned User, Teams). No activity panels, no calendar integration.</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Lookup tables and simple reference data.</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features plus the Activities, History, and Tasks side panels. Records can have Meetings, Calls, Tasks, and Emails logged against them.</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Most custom tracking entities (e.g., Engagement, Application).</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Person</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 features plus split name fields (Salutation, First Name, Middle Name, Last Name), Email, Phone, and Address. Records are flagged as containing personal data, which enables email-history matching by email address.</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Any entity representing a human (Mentor, Mentee, Sponsor).</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Company</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 features plus organization-style Name field, Email, Phone, Billing Address, and Shipping Address.</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Any entity representing an organization (Partner Company, Sponsor Organization).</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Event</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 features plus Date Start, Date End, Duration, Parent, and Status fields. Records appear on the EspoCRM Calendar.</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Sessions, webinars, and other scheduled activities.</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Category Tree</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Hierarchical parent-child structure with tree navigation in the UI.</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Nested category lists (e.g., topic taxonomies).</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b/>
          <w:bCs/>
          <w:sz w:val="22"/>
          <w:szCs w:val="22"/>
        </w:rPr>
      </w:pPr>
      <w:r>
        <w:rPr>
          <w:rFonts w:eastAsia="Arial" w:cs="Arial"/>
          <w:b/>
          <w:bCs/>
          <w:sz w:val="22"/>
          <w:szCs w:val="22"/>
        </w:rPr>
        <w:t>Why the Choice Matters: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EspoCRM’s Admin UI does not provide a way to change the type of an existing entity. Converting an entity from one type to another after creation requires manual edits to PHP class definitions, JSON metadata files, and scope configuration on the server. In practice, the entity type should be treated as immutable once any record exists. If the wrong type is selected and discovered before records are entered, the cleanest path is to delete the entity and recreate it with the correct type.</w:t>
      </w:r>
    </w:p>
    <w:p>
      <w:pPr>
        <w:pStyle w:val="Normal"/>
        <w:bidi w:val="0"/>
        <w:jc w:val="start"/>
        <w:rPr/>
      </w:pPr>
      <w:r>
        <w:rPr/>
      </w:r>
    </w:p>
    <w:p>
      <w:pPr>
        <w:pStyle w:val="Normal"/>
        <w:bidi w:val="0"/>
        <w:spacing w:before="0" w:after="120"/>
        <w:jc w:val="start"/>
        <w:rPr>
          <w:rFonts w:ascii="Arial" w:hAnsi="Arial" w:eastAsia="Arial" w:cs="Arial"/>
          <w:b/>
          <w:bCs/>
          <w:sz w:val="22"/>
          <w:szCs w:val="22"/>
        </w:rPr>
      </w:pPr>
      <w:r>
        <w:rPr>
          <w:rFonts w:eastAsia="Arial" w:cs="Arial"/>
          <w:b/>
          <w:bCs/>
          <w:sz w:val="22"/>
          <w:szCs w:val="22"/>
        </w:rPr>
        <w:t>Recommended Types for CBM Use Cases: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5499"/>
        <w:gridCol w:w="3860"/>
      </w:tblGrid>
      <w:tr>
        <w:trPr/>
        <w:tc>
          <w:tcPr>
            <w:tcW w:w="54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Use Case</w:t>
            </w:r>
          </w:p>
        </w:tc>
        <w:tc>
          <w:tcPr>
            <w:tcW w:w="38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Recommended Type</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Person record (Mentor, Mentee, Sponsor, etc.)</w:t>
            </w:r>
          </w:p>
        </w:tc>
        <w:tc>
          <w:tcPr>
            <w:tcW w:w="3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Person</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Organization record (Partner Company, Sponsor Organization)</w:t>
            </w:r>
          </w:p>
        </w:tc>
        <w:tc>
          <w:tcPr>
            <w:tcW w:w="3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Company</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Scheduled session, meeting, or webinar</w:t>
            </w:r>
          </w:p>
        </w:tc>
        <w:tc>
          <w:tcPr>
            <w:tcW w:w="3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Event</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Tracking record with activity logging (Engagement, Application)</w:t>
            </w:r>
          </w:p>
        </w:tc>
        <w:tc>
          <w:tcPr>
            <w:tcW w:w="3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Simple lookup or reference data (Industry list, Skill list)</w:t>
            </w:r>
          </w:p>
        </w:tc>
        <w:tc>
          <w:tcPr>
            <w:tcW w:w="3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Hierarchical category list (topic taxonomy)</w:t>
            </w:r>
          </w:p>
        </w:tc>
        <w:tc>
          <w:tcPr>
            <w:tcW w:w="3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Category Tree</w:t>
            </w:r>
          </w:p>
        </w:tc>
      </w:tr>
    </w:tbl>
    <w:p>
      <w:pPr>
        <w:pStyle w:val="Normal"/>
        <w:bidi w:val="0"/>
        <w:jc w:val="start"/>
        <w:rPr/>
      </w:pPr>
      <w:r>
        <w:rPr/>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 Step-by-Step: Creating a New Entity</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1 — Open Entity Manager</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Create Entity</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2 — Fill in the Entity Definition</w:t>
      </w:r>
    </w:p>
    <w:p>
      <w:pPr>
        <w:pStyle w:val="Normal"/>
        <w:bidi w:val="0"/>
        <w:spacing w:before="0" w:after="120"/>
        <w:jc w:val="start"/>
        <w:rPr>
          <w:rFonts w:ascii="Arial" w:hAnsi="Arial" w:eastAsia="Arial" w:cs="Arial"/>
          <w:sz w:val="22"/>
          <w:szCs w:val="22"/>
        </w:rPr>
      </w:pPr>
      <w:r>
        <w:rPr>
          <w:rFonts w:eastAsia="Arial" w:cs="Arial"/>
          <w:sz w:val="22"/>
          <w:szCs w:val="22"/>
        </w:rPr>
        <w:t>Complete the following fields in the Create Entity form:</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398"/>
        <w:gridCol w:w="3000"/>
        <w:gridCol w:w="3962"/>
      </w:tblGrid>
      <w:tr>
        <w:trPr/>
        <w:tc>
          <w:tcPr>
            <w:tcW w:w="2398"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Example</w:t>
            </w:r>
          </w:p>
        </w:tc>
        <w:tc>
          <w:tcPr>
            <w:tcW w:w="3962"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Notes</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w:t>
            </w:r>
          </w:p>
        </w:tc>
        <w:tc>
          <w:tcPr>
            <w:tcW w:w="396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Singular, PascalCase. Used internally as the entity type identifier.</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w:t>
            </w:r>
          </w:p>
        </w:tc>
        <w:tc>
          <w:tcPr>
            <w:tcW w:w="396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Singular display name shown in the UI.</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 (plural)</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c>
          <w:tcPr>
            <w:tcW w:w="396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Plural display name used in list views and navigation.</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Type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w:t>
            </w:r>
          </w:p>
        </w:tc>
        <w:tc>
          <w:tcPr>
            <w:tcW w:w="3962" w:type="dxa"/>
            <w:tcBorders>
              <w:top w:val="single" w:sz="2" w:space="0" w:color="CCCCCC"/>
              <w:start w:val="single" w:sz="2" w:space="0" w:color="CCCCCC"/>
              <w:bottom w:val="single" w:sz="2" w:space="0" w:color="CCCCCC"/>
              <w:end w:val="single" w:sz="2" w:space="0" w:color="CCCCCC"/>
            </w:tcBorders>
          </w:tcPr>
          <w:p>
            <w:pPr>
              <w:pStyle w:val="Normal"/>
              <w:bidi w:val="0"/>
              <w:jc w:val="start"/>
              <w:rPr/>
            </w:pPr>
            <w:r>
              <w:rPr>
                <w:rFonts w:eastAsia="Arial" w:cs="Arial"/>
                <w:sz w:val="20"/>
                <w:szCs w:val="20"/>
              </w:rPr>
              <w:t>Determines the structural template for the entity (default fields, side panels, calendar integration). See Section 1.2 for a full discussion of the available types and how to choose. The type cannot be changed through the UI after creation.</w:t>
            </w:r>
          </w:p>
        </w:tc>
      </w:tr>
    </w:tbl>
    <w:p>
      <w:pPr>
        <w:pStyle w:val="Normal"/>
        <w:bidi w:val="0"/>
        <w:jc w:val="start"/>
        <w:rPr/>
      </w:pPr>
      <w:r>
        <w:rPr/>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3 — Save</w:t>
      </w:r>
    </w:p>
    <w:p>
      <w:pPr>
        <w:pStyle w:val="Normal"/>
        <w:bidi w:val="0"/>
        <w:spacing w:before="0" w:after="120"/>
        <w:jc w:val="start"/>
        <w:rPr>
          <w:rFonts w:ascii="Arial" w:hAnsi="Arial" w:eastAsia="Arial" w:cs="Arial"/>
          <w:sz w:val="22"/>
          <w:szCs w:val="22"/>
        </w:rPr>
      </w:pPr>
      <w:r>
        <w:rPr>
          <w:rFonts w:eastAsia="Arial" w:cs="Arial"/>
          <w:sz w:val="22"/>
          <w:szCs w:val="22"/>
        </w:rPr>
        <w:t>Click Save. EspoCRM creates the entity with a default set of fields (ID, Name, Created At, Modified At, Assigned User). You can then add custom fields via the Fields tab.</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1.4 Adding Custom Fields</w:t>
      </w:r>
    </w:p>
    <w:p>
      <w:pPr>
        <w:pStyle w:val="Normal"/>
        <w:bidi w:val="0"/>
        <w:spacing w:before="0" w:after="120"/>
        <w:jc w:val="start"/>
        <w:rPr>
          <w:rFonts w:ascii="Arial" w:hAnsi="Arial" w:eastAsia="Arial" w:cs="Arial"/>
          <w:sz w:val="22"/>
          <w:szCs w:val="22"/>
        </w:rPr>
      </w:pPr>
      <w:r>
        <w:rPr>
          <w:rFonts w:eastAsia="Arial" w:cs="Arial"/>
          <w:sz w:val="22"/>
          <w:szCs w:val="22"/>
        </w:rPr>
        <w:t>After the entity is created, navigate to: Admin → Entity Manager → [Your Entity] → Fields → Add Field</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Select a field type and fill in the Name and Label. Common field types include:</w:t>
      </w:r>
    </w:p>
    <w:p>
      <w:pPr>
        <w:pStyle w:val="Normal"/>
        <w:bidi w:val="0"/>
        <w:jc w:val="start"/>
        <w:rPr/>
      </w:pPr>
      <w:r>
        <w:rPr/>
      </w:r>
    </w:p>
    <w:p>
      <w:pPr>
        <w:pStyle w:val="ListParagraph"/>
        <w:numPr>
          <w:ilvl w:val="0"/>
          <w:numId w:val="10"/>
        </w:numPr>
        <w:bidi w:val="0"/>
        <w:spacing w:before="0" w:after="80"/>
        <w:jc w:val="start"/>
        <w:rPr>
          <w:rFonts w:ascii="Arial" w:hAnsi="Arial" w:eastAsia="Arial" w:cs="Arial"/>
          <w:sz w:val="22"/>
          <w:szCs w:val="22"/>
        </w:rPr>
      </w:pPr>
      <w:r>
        <w:rPr>
          <w:rFonts w:eastAsia="Arial" w:cs="Arial"/>
          <w:sz w:val="22"/>
          <w:szCs w:val="22"/>
        </w:rPr>
        <w:t>Varchar — short text (names, titles)</w:t>
      </w:r>
    </w:p>
    <w:p>
      <w:pPr>
        <w:pStyle w:val="ListParagraph"/>
        <w:numPr>
          <w:ilvl w:val="0"/>
          <w:numId w:val="11"/>
        </w:numPr>
        <w:bidi w:val="0"/>
        <w:spacing w:before="0" w:after="80"/>
        <w:jc w:val="start"/>
        <w:rPr>
          <w:rFonts w:ascii="Arial" w:hAnsi="Arial" w:eastAsia="Arial" w:cs="Arial"/>
          <w:sz w:val="22"/>
          <w:szCs w:val="22"/>
        </w:rPr>
      </w:pPr>
      <w:r>
        <w:rPr>
          <w:rFonts w:eastAsia="Arial" w:cs="Arial"/>
          <w:sz w:val="22"/>
          <w:szCs w:val="22"/>
        </w:rPr>
        <w:t>Text — long-form plain text (notes, descriptions). Renders as a multi-line textarea that expands to show full content.</w:t>
      </w:r>
    </w:p>
    <w:p>
      <w:pPr>
        <w:pStyle w:val="ListParagraph"/>
        <w:numPr>
          <w:ilvl w:val="0"/>
          <w:numId w:val="12"/>
        </w:numPr>
        <w:bidi w:val="0"/>
        <w:spacing w:before="0" w:after="80"/>
        <w:jc w:val="start"/>
        <w:rPr>
          <w:rFonts w:ascii="Arial" w:hAnsi="Arial" w:eastAsia="Arial" w:cs="Arial"/>
          <w:sz w:val="22"/>
          <w:szCs w:val="22"/>
        </w:rPr>
      </w:pPr>
      <w:r>
        <w:rPr>
          <w:rFonts w:eastAsia="Arial" w:cs="Arial"/>
          <w:sz w:val="22"/>
          <w:szCs w:val="22"/>
        </w:rPr>
        <w:t>Wysiwyg — rich text editor with formatting toolbar (bold, italic, lists, links, etc.). Renders formatted HTML output in the detail view, making notes and descriptions more readable. Best choice when users need to format content. Note: data is stored internally as HTML, so exported or programmatically accessed data will include HTML markup.</w:t>
      </w:r>
    </w:p>
    <w:p>
      <w:pPr>
        <w:pStyle w:val="ListParagraph"/>
        <w:numPr>
          <w:ilvl w:val="0"/>
          <w:numId w:val="13"/>
        </w:numPr>
        <w:bidi w:val="0"/>
        <w:spacing w:before="0" w:after="80"/>
        <w:jc w:val="start"/>
        <w:rPr>
          <w:rFonts w:ascii="Arial" w:hAnsi="Arial" w:eastAsia="Arial" w:cs="Arial"/>
          <w:sz w:val="22"/>
          <w:szCs w:val="22"/>
        </w:rPr>
      </w:pPr>
      <w:r>
        <w:rPr>
          <w:rFonts w:eastAsia="Arial" w:cs="Arial"/>
          <w:sz w:val="22"/>
          <w:szCs w:val="22"/>
        </w:rPr>
        <w:t>Enum — dropdown with a fixed list of options</w:t>
      </w:r>
    </w:p>
    <w:p>
      <w:pPr>
        <w:pStyle w:val="ListParagraph"/>
        <w:numPr>
          <w:ilvl w:val="0"/>
          <w:numId w:val="14"/>
        </w:numPr>
        <w:bidi w:val="0"/>
        <w:spacing w:before="0" w:after="80"/>
        <w:jc w:val="start"/>
        <w:rPr>
          <w:rFonts w:ascii="Arial" w:hAnsi="Arial" w:eastAsia="Arial" w:cs="Arial"/>
          <w:sz w:val="22"/>
          <w:szCs w:val="22"/>
        </w:rPr>
      </w:pPr>
      <w:r>
        <w:rPr>
          <w:rFonts w:eastAsia="Arial" w:cs="Arial"/>
          <w:sz w:val="22"/>
          <w:szCs w:val="22"/>
        </w:rPr>
        <w:t>Date / DateTime — calendar date or timestamp</w:t>
      </w:r>
    </w:p>
    <w:p>
      <w:pPr>
        <w:pStyle w:val="ListParagraph"/>
        <w:numPr>
          <w:ilvl w:val="0"/>
          <w:numId w:val="15"/>
        </w:numPr>
        <w:bidi w:val="0"/>
        <w:spacing w:before="0" w:after="80"/>
        <w:jc w:val="start"/>
        <w:rPr>
          <w:rFonts w:ascii="Arial" w:hAnsi="Arial" w:eastAsia="Arial" w:cs="Arial"/>
          <w:sz w:val="22"/>
          <w:szCs w:val="22"/>
        </w:rPr>
      </w:pPr>
      <w:r>
        <w:rPr>
          <w:rFonts w:eastAsia="Arial" w:cs="Arial"/>
          <w:sz w:val="22"/>
          <w:szCs w:val="22"/>
        </w:rPr>
        <w:t>Boolean — yes/no checkbox</w:t>
      </w:r>
    </w:p>
    <w:p>
      <w:pPr>
        <w:pStyle w:val="ListParagraph"/>
        <w:numPr>
          <w:ilvl w:val="0"/>
          <w:numId w:val="16"/>
        </w:numPr>
        <w:bidi w:val="0"/>
        <w:spacing w:before="0" w:after="80"/>
        <w:jc w:val="start"/>
        <w:rPr>
          <w:rFonts w:ascii="Arial" w:hAnsi="Arial" w:eastAsia="Arial" w:cs="Arial"/>
          <w:sz w:val="22"/>
          <w:szCs w:val="22"/>
        </w:rPr>
      </w:pPr>
      <w:r>
        <w:rPr>
          <w:rFonts w:eastAsia="Arial" w:cs="Arial"/>
          <w:sz w:val="22"/>
          <w:szCs w:val="22"/>
        </w:rPr>
        <w:t>Int / Float — whole number or decimal</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For Enum fields, if you want the field to have no default value, you must add a blank entry as the first option in the list AND leave the Default Value field empty. If the first option in the list is not blank, EspoCRM will automatically use the first item as the default value regardless of the Default Value setting. This is especially important for fields used to drive Dynamic Logic panel visibility — a blank first entry ensures no panel is shown until a value is explicitly selected.</w:t>
            </w:r>
          </w:p>
        </w:tc>
      </w:tr>
    </w:tbl>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Link-type fields (relationships to other entities) are not created through the Fields tab. See Section 2 for how to create relationships between entities.</w:t>
            </w:r>
          </w:p>
        </w:tc>
      </w:tr>
    </w:tbl>
    <w:p>
      <w:pPr>
        <w:pStyle w:val="Normal"/>
        <w:bidi w:val="0"/>
        <w:jc w:val="start"/>
        <w:rPr/>
      </w:pPr>
      <w:r>
        <w:rPr/>
      </w:r>
    </w:p>
    <w:p>
      <w:pPr>
        <w:pStyle w:val="Heading3"/>
        <w:numPr>
          <w:ilvl w:val="0"/>
          <w:numId w:val="0"/>
        </w:numPr>
        <w:bidi w:val="0"/>
        <w:spacing w:before="180" w:after="80"/>
        <w:ind w:hanging="0" w:start="0"/>
        <w:jc w:val="start"/>
        <w:rPr/>
      </w:pPr>
      <w:r>
        <w:rPr>
          <w:rFonts w:eastAsia="Arial" w:cs="Arial" w:ascii="Arial" w:hAnsi="Arial"/>
          <w:b/>
          <w:bCs/>
          <w:color w:val="595959"/>
          <w:sz w:val="24"/>
          <w:szCs w:val="24"/>
        </w:rPr>
        <w:t>1.5 Setting an Enum Default Value Based on Another Field (Dynamic Handler)</w:t>
      </w:r>
    </w:p>
    <w:p>
      <w:pPr>
        <w:pStyle w:val="Normal"/>
        <w:bidi w:val="0"/>
        <w:spacing w:before="0" w:after="120"/>
        <w:jc w:val="start"/>
        <w:rPr>
          <w:rFonts w:ascii="Arial" w:hAnsi="Arial" w:eastAsia="Arial" w:cs="Arial"/>
          <w:sz w:val="22"/>
          <w:szCs w:val="22"/>
        </w:rPr>
      </w:pPr>
      <w:r>
        <w:rPr>
          <w:rFonts w:eastAsia="Arial" w:cs="Arial"/>
          <w:sz w:val="22"/>
          <w:szCs w:val="22"/>
        </w:rPr>
        <w:t>EspoCRM does not provide a GUI option to set the default value of an Enum field based on the value of another field. This requires a custom JavaScript Dynamic Handler — a developer-level customization that runs in the browser and responds to field value changes in real time.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This approach requires custom JavaScript development and direct file access to the EspoCRM server. It is not available through the Admin UI. Only proceed if you are comfortable with JavaScript and have server file access.</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1 — Create the Dynamic Handler File</w:t>
      </w:r>
    </w:p>
    <w:p>
      <w:pPr>
        <w:pStyle w:val="Normal"/>
        <w:bidi w:val="0"/>
        <w:spacing w:before="0" w:after="120"/>
        <w:jc w:val="start"/>
        <w:rPr>
          <w:rFonts w:ascii="Arial" w:hAnsi="Arial" w:eastAsia="Arial" w:cs="Arial"/>
          <w:sz w:val="22"/>
          <w:szCs w:val="22"/>
        </w:rPr>
      </w:pPr>
      <w:r>
        <w:rPr>
          <w:rFonts w:eastAsia="Arial" w:cs="Arial"/>
          <w:sz w:val="22"/>
          <w:szCs w:val="22"/>
        </w:rPr>
        <w:t>Create the following file on the EspoCRM server:</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client/custom/src/my-dynamic-handler.js</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Paste the following code into that file, replacing anotherField, targetEnumField, SpecificValue, DefaultValueA, and DefaultValueB with your actual field names and values:</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define('custom:my-dynamic-handler', ['dynamic-handler'], (Dep) =&gt;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return class extends Dep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init()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this.controlFields();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this.recordView.listenTo(this.model, 'change:anotherField', () =&gt; this.controlFields());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bidi w:val="0"/>
              <w:jc w:val="start"/>
              <w:rPr/>
            </w:pPr>
            <w:r>
              <w:rPr/>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controlFields()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const value = this.recordView.model.get('anotherField');</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if (value === 'SpecificValue')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this.recordView.setFieldOptionList('targetEnumField', ['DefaultValueA']);</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 else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this.recordView.setFieldOptionList('targetEnumField', ['DefaultValueB']);</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2 — Link the Handler to the Entity</w:t>
      </w:r>
    </w:p>
    <w:p>
      <w:pPr>
        <w:pStyle w:val="Normal"/>
        <w:bidi w:val="0"/>
        <w:spacing w:before="0" w:after="120"/>
        <w:jc w:val="start"/>
        <w:rPr>
          <w:rFonts w:ascii="Arial" w:hAnsi="Arial" w:eastAsia="Arial" w:cs="Arial"/>
          <w:sz w:val="22"/>
          <w:szCs w:val="22"/>
        </w:rPr>
      </w:pPr>
      <w:r>
        <w:rPr>
          <w:rFonts w:eastAsia="Arial" w:cs="Arial"/>
          <w:sz w:val="22"/>
          <w:szCs w:val="22"/>
        </w:rPr>
        <w:t>Create or edit the entity's client metadata file on the server:</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custom/Espo/Custom/Resources/metadata/clientDefs/YourEntity.json</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Add the following to that JSON file, replacing YourEntity with your actual entity name:</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p>
            <w:pPr>
              <w:pStyle w:val="Normal"/>
              <w:bidi w:val="0"/>
              <w:jc w:val="start"/>
              <w:rPr/>
            </w:pPr>
            <w:r>
              <w:rPr>
                <w:rFonts w:eastAsia="Courier New" w:cs="Courier New" w:ascii="Courier New" w:hAnsi="Courier New"/>
                <w:sz w:val="18"/>
                <w:szCs w:val="18"/>
              </w:rPr>
              <w:t xml:space="preserve">    </w:t>
            </w:r>
            <w:r>
              <w:rPr>
                <w:rFonts w:eastAsia="Courier New" w:cs="Courier New" w:ascii="Courier New" w:hAnsi="Courier New"/>
                <w:sz w:val="18"/>
                <w:szCs w:val="18"/>
              </w:rPr>
              <w:t>"dynamicHandler": "custom:my-dynamic-handler"</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3 — Clear Cache and Refresh</w:t>
      </w:r>
    </w:p>
    <w:p>
      <w:pPr>
        <w:pStyle w:val="Normal"/>
        <w:bidi w:val="0"/>
        <w:spacing w:before="0" w:after="120"/>
        <w:jc w:val="start"/>
        <w:rPr>
          <w:rFonts w:ascii="Arial" w:hAnsi="Arial" w:eastAsia="Arial" w:cs="Arial"/>
          <w:sz w:val="22"/>
          <w:szCs w:val="22"/>
        </w:rPr>
      </w:pPr>
      <w:r>
        <w:rPr>
          <w:rFonts w:eastAsia="Arial" w:cs="Arial"/>
          <w:sz w:val="22"/>
          <w:szCs w:val="22"/>
        </w:rPr>
        <w:t>After saving both files, clear the EspoCRM cache and refresh your browser:</w:t>
      </w:r>
    </w:p>
    <w:p>
      <w:pPr>
        <w:pStyle w:val="Normal"/>
        <w:bidi w:val="0"/>
        <w:jc w:val="start"/>
        <w:rPr/>
      </w:pPr>
      <w:r>
        <w:rPr/>
      </w:r>
    </w:p>
    <w:p>
      <w:pPr>
        <w:pStyle w:val="ListParagraph"/>
        <w:numPr>
          <w:ilvl w:val="0"/>
          <w:numId w:val="17"/>
        </w:numPr>
        <w:bidi w:val="0"/>
        <w:spacing w:before="0" w:after="100"/>
        <w:jc w:val="start"/>
        <w:rPr>
          <w:rFonts w:ascii="Arial" w:hAnsi="Arial" w:eastAsia="Arial" w:cs="Arial"/>
          <w:sz w:val="22"/>
          <w:szCs w:val="22"/>
        </w:rPr>
      </w:pPr>
      <w:r>
        <w:rPr>
          <w:rFonts w:eastAsia="Arial" w:cs="Arial"/>
          <w:sz w:val="22"/>
          <w:szCs w:val="22"/>
        </w:rPr>
        <w:t>Go to: Admin → Clear Cache.</w:t>
      </w:r>
    </w:p>
    <w:p>
      <w:pPr>
        <w:pStyle w:val="ListParagraph"/>
        <w:numPr>
          <w:ilvl w:val="0"/>
          <w:numId w:val="18"/>
        </w:numPr>
        <w:bidi w:val="0"/>
        <w:spacing w:before="0" w:after="100"/>
        <w:jc w:val="start"/>
        <w:rPr>
          <w:rFonts w:ascii="Arial" w:hAnsi="Arial" w:eastAsia="Arial" w:cs="Arial"/>
          <w:sz w:val="22"/>
          <w:szCs w:val="22"/>
        </w:rPr>
      </w:pPr>
      <w:r>
        <w:rPr>
          <w:rFonts w:eastAsia="Arial" w:cs="Arial"/>
          <w:sz w:val="22"/>
          <w:szCs w:val="22"/>
        </w:rPr>
        <w:t>Hard-refresh your browser (Ctrl+Shift+R or Cmd+Shift+R).</w:t>
      </w:r>
    </w:p>
    <w:p>
      <w:pPr>
        <w:pStyle w:val="ListParagraph"/>
        <w:numPr>
          <w:ilvl w:val="0"/>
          <w:numId w:val="19"/>
        </w:numPr>
        <w:bidi w:val="0"/>
        <w:spacing w:before="0" w:after="100"/>
        <w:jc w:val="start"/>
        <w:rPr>
          <w:rFonts w:ascii="Arial" w:hAnsi="Arial" w:eastAsia="Arial" w:cs="Arial"/>
          <w:sz w:val="22"/>
          <w:szCs w:val="22"/>
        </w:rPr>
      </w:pPr>
      <w:r>
        <w:rPr>
          <w:rFonts w:eastAsia="Arial" w:cs="Arial"/>
          <w:sz w:val="22"/>
          <w:szCs w:val="22"/>
        </w:rPr>
        <w:t>Open a record of the target entity and change the controlling field value to confirm the Enum options update correctly.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Alternatively, Dynamic Logic (Admin → Entity Manager → [Entity] → Dynamic Logic) can be used to show/hide or make fields required based on another field value without custom code — but it cannot set a default Enum value. Use the Dynamic Handler approach when you need full control over which options are available based on another field.</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1.6 Adding the Entity to the Left Navigation Column</w:t>
      </w:r>
    </w:p>
    <w:p>
      <w:pPr>
        <w:pStyle w:val="Normal"/>
        <w:bidi w:val="0"/>
        <w:spacing w:before="0" w:after="120"/>
        <w:jc w:val="start"/>
        <w:rPr>
          <w:rFonts w:ascii="Arial" w:hAnsi="Arial" w:eastAsia="Arial" w:cs="Arial"/>
          <w:sz w:val="22"/>
          <w:szCs w:val="22"/>
        </w:rPr>
      </w:pPr>
      <w:r>
        <w:rPr>
          <w:rFonts w:eastAsia="Arial" w:cs="Arial"/>
          <w:sz w:val="22"/>
          <w:szCs w:val="22"/>
        </w:rPr>
        <w:t>After creating an entity, it is not automatically visible in the left-side navigation menu. You must add it manually through the Navbar settings.</w:t>
      </w:r>
    </w:p>
    <w:p>
      <w:pPr>
        <w:pStyle w:val="Normal"/>
        <w:bidi w:val="0"/>
        <w:jc w:val="start"/>
        <w:rPr/>
      </w:pPr>
      <w:r>
        <w:rPr/>
      </w:r>
    </w:p>
    <w:p>
      <w:pPr>
        <w:pStyle w:val="ListParagraph"/>
        <w:numPr>
          <w:ilvl w:val="0"/>
          <w:numId w:val="20"/>
        </w:numPr>
        <w:bidi w:val="0"/>
        <w:spacing w:before="0" w:after="100"/>
        <w:jc w:val="start"/>
        <w:rPr>
          <w:rFonts w:ascii="Arial" w:hAnsi="Arial" w:eastAsia="Arial" w:cs="Arial"/>
          <w:sz w:val="22"/>
          <w:szCs w:val="22"/>
        </w:rPr>
      </w:pPr>
      <w:r>
        <w:rPr>
          <w:rFonts w:eastAsia="Arial" w:cs="Arial"/>
          <w:sz w:val="22"/>
          <w:szCs w:val="22"/>
        </w:rPr>
        <w:t>Navigate to: Admin → User Interface → Navbar</w:t>
      </w:r>
    </w:p>
    <w:p>
      <w:pPr>
        <w:pStyle w:val="ListParagraph"/>
        <w:numPr>
          <w:ilvl w:val="0"/>
          <w:numId w:val="21"/>
        </w:numPr>
        <w:bidi w:val="0"/>
        <w:spacing w:before="0" w:after="100"/>
        <w:jc w:val="start"/>
        <w:rPr>
          <w:rFonts w:ascii="Arial" w:hAnsi="Arial" w:eastAsia="Arial" w:cs="Arial"/>
          <w:sz w:val="22"/>
          <w:szCs w:val="22"/>
        </w:rPr>
      </w:pPr>
      <w:r>
        <w:rPr>
          <w:rFonts w:eastAsia="Arial" w:cs="Arial"/>
          <w:sz w:val="22"/>
          <w:szCs w:val="22"/>
        </w:rPr>
        <w:t>In the Tab List section, locate your new entity in the available items on the right.</w:t>
      </w:r>
    </w:p>
    <w:p>
      <w:pPr>
        <w:pStyle w:val="ListParagraph"/>
        <w:numPr>
          <w:ilvl w:val="0"/>
          <w:numId w:val="22"/>
        </w:numPr>
        <w:bidi w:val="0"/>
        <w:spacing w:before="0" w:after="100"/>
        <w:jc w:val="start"/>
        <w:rPr>
          <w:rFonts w:ascii="Arial" w:hAnsi="Arial" w:eastAsia="Arial" w:cs="Arial"/>
          <w:sz w:val="22"/>
          <w:szCs w:val="22"/>
        </w:rPr>
      </w:pPr>
      <w:r>
        <w:rPr>
          <w:rFonts w:eastAsia="Arial" w:cs="Arial"/>
          <w:sz w:val="22"/>
          <w:szCs w:val="22"/>
        </w:rPr>
        <w:t>Drag it into the tab list on the left in the position where you want it to appear.</w:t>
      </w:r>
    </w:p>
    <w:p>
      <w:pPr>
        <w:pStyle w:val="ListParagraph"/>
        <w:numPr>
          <w:ilvl w:val="0"/>
          <w:numId w:val="23"/>
        </w:numPr>
        <w:bidi w:val="0"/>
        <w:spacing w:before="0" w:after="100"/>
        <w:jc w:val="start"/>
        <w:rPr>
          <w:rFonts w:ascii="Arial" w:hAnsi="Arial" w:eastAsia="Arial" w:cs="Arial"/>
          <w:sz w:val="22"/>
          <w:szCs w:val="22"/>
        </w:rPr>
      </w:pPr>
      <w:r>
        <w:rPr>
          <w:rFonts w:eastAsia="Arial" w:cs="Arial"/>
          <w:sz w:val="22"/>
          <w:szCs w:val="22"/>
        </w:rPr>
        <w:t>Click Save.</w:t>
      </w:r>
    </w:p>
    <w:p>
      <w:pPr>
        <w:pStyle w:val="ListParagraph"/>
        <w:numPr>
          <w:ilvl w:val="0"/>
          <w:numId w:val="24"/>
        </w:numPr>
        <w:bidi w:val="0"/>
        <w:spacing w:before="0" w:after="100"/>
        <w:jc w:val="start"/>
        <w:rPr>
          <w:rFonts w:ascii="Arial" w:hAnsi="Arial" w:eastAsia="Arial" w:cs="Arial"/>
          <w:sz w:val="22"/>
          <w:szCs w:val="22"/>
        </w:rPr>
      </w:pPr>
      <w:r>
        <w:rPr>
          <w:rFonts w:eastAsia="Arial" w:cs="Arial"/>
          <w:sz w:val="22"/>
          <w:szCs w:val="22"/>
        </w:rPr>
        <w:t>Refresh the page. The entity will now appear in the left navigation column.</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Each user can also customize their own navigation tabs via their personal preferences (top-right avatar → My Account → Preferences → Dashboard). The Admin-level Navbar setting controls the default layout for all users.</w:t>
            </w:r>
          </w:p>
        </w:tc>
      </w:tr>
    </w:tbl>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2. Creating Relationships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Relationships in EspoCRM define how one entity type links to another. Creating a relationship automatically generates the corresponding link field on the source entity and (optionally) a related records panel on the foreign entity.</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2.1 Overview</w:t>
      </w:r>
    </w:p>
    <w:p>
      <w:pPr>
        <w:pStyle w:val="Normal"/>
        <w:bidi w:val="0"/>
        <w:spacing w:before="0" w:after="120"/>
        <w:jc w:val="start"/>
        <w:rPr>
          <w:rFonts w:ascii="Arial" w:hAnsi="Arial" w:eastAsia="Arial" w:cs="Arial"/>
          <w:sz w:val="22"/>
          <w:szCs w:val="22"/>
        </w:rPr>
      </w:pPr>
      <w:r>
        <w:rPr>
          <w:rFonts w:eastAsia="Arial" w:cs="Arial"/>
          <w:sz w:val="22"/>
          <w:szCs w:val="22"/>
        </w:rPr>
        <w:t>Relationships are managed through Entity Manager, not the Fields tab. The key distinction is:</w:t>
      </w:r>
    </w:p>
    <w:p>
      <w:pPr>
        <w:pStyle w:val="ListParagraph"/>
        <w:numPr>
          <w:ilvl w:val="0"/>
          <w:numId w:val="25"/>
        </w:numPr>
        <w:bidi w:val="0"/>
        <w:spacing w:before="0" w:after="80"/>
        <w:jc w:val="start"/>
        <w:rPr>
          <w:rFonts w:ascii="Arial" w:hAnsi="Arial" w:eastAsia="Arial" w:cs="Arial"/>
          <w:sz w:val="22"/>
          <w:szCs w:val="22"/>
        </w:rPr>
      </w:pPr>
      <w:r>
        <w:rPr>
          <w:rFonts w:eastAsia="Arial" w:cs="Arial"/>
          <w:sz w:val="22"/>
          <w:szCs w:val="22"/>
        </w:rPr>
        <w:t>Fields tab — for standalone data fields (text, date, dropdown, etc.)</w:t>
      </w:r>
    </w:p>
    <w:p>
      <w:pPr>
        <w:pStyle w:val="ListParagraph"/>
        <w:numPr>
          <w:ilvl w:val="0"/>
          <w:numId w:val="26"/>
        </w:numPr>
        <w:bidi w:val="0"/>
        <w:spacing w:before="0" w:after="80"/>
        <w:jc w:val="start"/>
        <w:rPr/>
      </w:pPr>
      <w:r>
        <w:rPr>
          <w:rFonts w:eastAsia="Arial" w:cs="Arial"/>
          <w:sz w:val="22"/>
          <w:szCs w:val="22"/>
        </w:rPr>
        <w:t>Relationships tab — for link fields that point to records in another entity</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2.2 Relationship Types</w:t>
      </w:r>
    </w:p>
    <w:p>
      <w:pPr>
        <w:pStyle w:val="Normal"/>
        <w:bidi w:val="0"/>
        <w:spacing w:before="0" w:after="120"/>
        <w:jc w:val="start"/>
        <w:rPr>
          <w:rFonts w:ascii="Arial" w:hAnsi="Arial" w:eastAsia="Arial" w:cs="Arial"/>
          <w:sz w:val="22"/>
          <w:szCs w:val="22"/>
        </w:rPr>
      </w:pPr>
      <w:r>
        <w:rPr>
          <w:rFonts w:eastAsia="Arial" w:cs="Arial"/>
          <w:sz w:val="22"/>
          <w:szCs w:val="22"/>
        </w:rPr>
        <w:t>Choose the relationship type based on how many records can exist on each side:</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398"/>
        <w:gridCol w:w="3481"/>
        <w:gridCol w:w="3481"/>
      </w:tblGrid>
      <w:tr>
        <w:trPr/>
        <w:tc>
          <w:tcPr>
            <w:tcW w:w="2398"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Type</w:t>
            </w:r>
          </w:p>
        </w:tc>
        <w:tc>
          <w:tcPr>
            <w:tcW w:w="34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Meaning</w:t>
            </w:r>
          </w:p>
        </w:tc>
        <w:tc>
          <w:tcPr>
            <w:tcW w:w="34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Example</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Many-to-One</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 source records link to one foreign record</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 Engagements → one Mentor</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One-to-Many</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 source record links to many foreign records</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 Mentor → many Engagements</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Many-to-Many</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 on each side</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Mentors ↔ Skills</w:t>
            </w:r>
          </w:p>
        </w:tc>
      </w:tr>
      <w:tr>
        <w:trPr/>
        <w:tc>
          <w:tcPr>
            <w:tcW w:w="23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One-to-One</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 record on each side</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 User account</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2.3 What Each Relationship Type Produces</w:t>
      </w:r>
    </w:p>
    <w:p>
      <w:pPr>
        <w:pStyle w:val="Normal"/>
        <w:bidi w:val="0"/>
        <w:spacing w:before="0" w:after="120"/>
        <w:jc w:val="start"/>
        <w:rPr>
          <w:rFonts w:ascii="Arial" w:hAnsi="Arial" w:eastAsia="Arial" w:cs="Arial"/>
          <w:sz w:val="22"/>
          <w:szCs w:val="22"/>
        </w:rPr>
      </w:pPr>
      <w:r>
        <w:rPr>
          <w:rFonts w:eastAsia="Arial" w:cs="Arial"/>
          <w:sz w:val="22"/>
          <w:szCs w:val="22"/>
        </w:rPr>
        <w:t>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1798"/>
        <w:gridCol w:w="3782"/>
        <w:gridCol w:w="3780"/>
      </w:tblGrid>
      <w:tr>
        <w:trPr/>
        <w:tc>
          <w:tcPr>
            <w:tcW w:w="1798"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Type</w:t>
            </w:r>
          </w:p>
        </w:tc>
        <w:tc>
          <w:tcPr>
            <w:tcW w:w="3782"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Source Entity Gets</w:t>
            </w:r>
          </w:p>
        </w:tc>
        <w:tc>
          <w:tcPr>
            <w:tcW w:w="37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Foreign Entity Gets</w:t>
            </w:r>
          </w:p>
        </w:tc>
      </w:tr>
      <w:tr>
        <w:trPr/>
        <w:tc>
          <w:tcPr>
            <w:tcW w:w="17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Many-to-One</w:t>
            </w:r>
          </w:p>
        </w:tc>
        <w:tc>
          <w:tcPr>
            <w:tcW w:w="37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(single record pointer) → configure in Detail View / Edit View</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(lists all linked source records) → configure in Bottom Panels</w:t>
            </w:r>
          </w:p>
        </w:tc>
      </w:tr>
      <w:tr>
        <w:trPr/>
        <w:tc>
          <w:tcPr>
            <w:tcW w:w="17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One-to-Many</w:t>
            </w:r>
          </w:p>
        </w:tc>
        <w:tc>
          <w:tcPr>
            <w:tcW w:w="37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(lists all linked foreign records) → configure in Bottom Panels</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(single record pointer) → configure in Detail View / Edit View</w:t>
            </w:r>
          </w:p>
        </w:tc>
      </w:tr>
      <w:tr>
        <w:trPr/>
        <w:tc>
          <w:tcPr>
            <w:tcW w:w="17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Many-to-Many</w:t>
            </w:r>
          </w:p>
        </w:tc>
        <w:tc>
          <w:tcPr>
            <w:tcW w:w="37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 configure in Bottom Panels</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 configure in Bottom Panels</w:t>
            </w:r>
          </w:p>
        </w:tc>
      </w:tr>
      <w:tr>
        <w:trPr/>
        <w:tc>
          <w:tcPr>
            <w:tcW w:w="17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One-to-One</w:t>
            </w:r>
          </w:p>
        </w:tc>
        <w:tc>
          <w:tcPr>
            <w:tcW w:w="37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 configure in Detail View / Edit View</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 configure in Detail View / Edit View</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rule of thumb is:</w:t>
      </w:r>
    </w:p>
    <w:p>
      <w:pPr>
        <w:pStyle w:val="ListParagraph"/>
        <w:numPr>
          <w:ilvl w:val="0"/>
          <w:numId w:val="27"/>
        </w:numPr>
        <w:bidi w:val="0"/>
        <w:spacing w:before="0" w:after="80"/>
        <w:jc w:val="start"/>
        <w:rPr>
          <w:rFonts w:ascii="Arial" w:hAnsi="Arial" w:eastAsia="Arial" w:cs="Arial"/>
          <w:sz w:val="22"/>
          <w:szCs w:val="22"/>
        </w:rPr>
      </w:pPr>
      <w:r>
        <w:rPr>
          <w:rFonts w:eastAsia="Arial" w:cs="Arial"/>
          <w:sz w:val="22"/>
          <w:szCs w:val="22"/>
        </w:rPr>
        <w:t>A link field points to one record — it appears as a single field on the record form, configured in Detail View and Edit View.</w:t>
      </w:r>
    </w:p>
    <w:p>
      <w:pPr>
        <w:pStyle w:val="ListParagraph"/>
        <w:numPr>
          <w:ilvl w:val="0"/>
          <w:numId w:val="28"/>
        </w:numPr>
        <w:bidi w:val="0"/>
        <w:spacing w:before="0" w:after="80"/>
        <w:jc w:val="start"/>
        <w:rPr>
          <w:rFonts w:ascii="Arial" w:hAnsi="Arial" w:eastAsia="Arial" w:cs="Arial"/>
          <w:sz w:val="22"/>
          <w:szCs w:val="22"/>
        </w:rPr>
      </w:pPr>
      <w:r>
        <w:rPr>
          <w:rFonts w:eastAsia="Arial" w:cs="Arial"/>
          <w:sz w:val="22"/>
          <w:szCs w:val="22"/>
        </w:rPr>
        <w:t>A related records panel lists multiple records — it appears as a scrollable panel at the bottom of a record page, configured in Bottom Panels.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2.4 Relationships Are Always Bi-Directional</w:t>
      </w:r>
    </w:p>
    <w:p>
      <w:pPr>
        <w:pStyle w:val="Normal"/>
        <w:bidi w:val="0"/>
        <w:spacing w:before="0" w:after="120"/>
        <w:jc w:val="start"/>
        <w:rPr>
          <w:rFonts w:ascii="Arial" w:hAnsi="Arial" w:eastAsia="Arial" w:cs="Arial"/>
          <w:sz w:val="22"/>
          <w:szCs w:val="22"/>
        </w:rPr>
      </w:pPr>
      <w:r>
        <w:rPr>
          <w:rFonts w:eastAsia="Arial" w:cs="Arial"/>
          <w:sz w:val="22"/>
          <w:szCs w:val="22"/>
        </w:rPr>
        <w:t>When you create a relationship in EspoCRM, both sides are created simultaneously in the database. You do not need to define two separate relationships — one definition covers both directions automatically.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example, when you create a Many-to-One relationship from Engagement to Contact, EspoCRM creates in one step:</w:t>
      </w:r>
    </w:p>
    <w:p>
      <w:pPr>
        <w:pStyle w:val="ListParagraph"/>
        <w:numPr>
          <w:ilvl w:val="0"/>
          <w:numId w:val="29"/>
        </w:numPr>
        <w:bidi w:val="0"/>
        <w:spacing w:before="0" w:after="80"/>
        <w:jc w:val="start"/>
        <w:rPr>
          <w:rFonts w:ascii="Arial" w:hAnsi="Arial" w:eastAsia="Arial" w:cs="Arial"/>
          <w:sz w:val="22"/>
          <w:szCs w:val="22"/>
        </w:rPr>
      </w:pPr>
      <w:r>
        <w:rPr>
          <w:rFonts w:eastAsia="Arial" w:cs="Arial"/>
          <w:sz w:val="22"/>
          <w:szCs w:val="22"/>
        </w:rPr>
        <w:t>The Assigned Mentor link field on the Engagement entity (the source side)</w:t>
      </w:r>
    </w:p>
    <w:p>
      <w:pPr>
        <w:pStyle w:val="ListParagraph"/>
        <w:numPr>
          <w:ilvl w:val="0"/>
          <w:numId w:val="30"/>
        </w:numPr>
        <w:bidi w:val="0"/>
        <w:spacing w:before="0" w:after="80"/>
        <w:jc w:val="start"/>
        <w:rPr>
          <w:rFonts w:ascii="Arial" w:hAnsi="Arial" w:eastAsia="Arial" w:cs="Arial"/>
          <w:sz w:val="22"/>
          <w:szCs w:val="22"/>
        </w:rPr>
      </w:pPr>
      <w:r>
        <w:rPr>
          <w:rFonts w:eastAsia="Arial" w:cs="Arial"/>
          <w:sz w:val="22"/>
          <w:szCs w:val="22"/>
        </w:rPr>
        <w:t>The Engagements related records panel on the Contact entity (the foreign side)</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This explains two important things:</w:t>
      </w:r>
    </w:p>
    <w:p>
      <w:pPr>
        <w:pStyle w:val="ListParagraph"/>
        <w:numPr>
          <w:ilvl w:val="0"/>
          <w:numId w:val="31"/>
        </w:numPr>
        <w:bidi w:val="0"/>
        <w:spacing w:before="0" w:after="80"/>
        <w:jc w:val="start"/>
        <w:rPr>
          <w:rFonts w:ascii="Arial" w:hAnsi="Arial" w:eastAsia="Arial" w:cs="Arial"/>
          <w:sz w:val="22"/>
          <w:szCs w:val="22"/>
        </w:rPr>
      </w:pPr>
      <w:r>
        <w:rPr>
          <w:rFonts w:eastAsia="Arial" w:cs="Arial"/>
          <w:sz w:val="22"/>
          <w:szCs w:val="22"/>
        </w:rPr>
        <w:t>The left-side fields in the Add Relationship dialog (Name and Label) are not just labels — they define the actual panel name that will appear on the foreign entity if you choose to enable it in Bottom Panels.</w:t>
      </w:r>
    </w:p>
    <w:p>
      <w:pPr>
        <w:pStyle w:val="ListParagraph"/>
        <w:numPr>
          <w:ilvl w:val="0"/>
          <w:numId w:val="32"/>
        </w:numPr>
        <w:bidi w:val="0"/>
        <w:spacing w:before="0" w:after="80"/>
        <w:jc w:val="start"/>
        <w:rPr>
          <w:rFonts w:ascii="Arial" w:hAnsi="Arial" w:eastAsia="Arial" w:cs="Arial"/>
          <w:sz w:val="22"/>
          <w:szCs w:val="22"/>
        </w:rPr>
      </w:pPr>
      <w:r>
        <w:rPr>
          <w:rFonts w:eastAsia="Arial" w:cs="Arial"/>
          <w:sz w:val="22"/>
          <w:szCs w:val="22"/>
        </w:rPr>
        <w:t>Scenario A and Scenario B in Section 2.5 are independent UI choices, not separate relationship definitions. You are simply choosing which side(s) of an already bi-directional relationship to make visible.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Because both sides are always created, it is worth thinking through the naming on both sides before saving — especially the left-side Label, which becomes the panel title on the foreign entity's detail page.</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2.5 Step-by-Step: Adding a Relationship</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1 — Open Entity Manager</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Relationships → Add Relationship</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2 — Select Relationship Type</w:t>
      </w:r>
    </w:p>
    <w:p>
      <w:pPr>
        <w:pStyle w:val="Normal"/>
        <w:bidi w:val="0"/>
        <w:spacing w:before="0" w:after="120"/>
        <w:jc w:val="start"/>
        <w:rPr>
          <w:rFonts w:ascii="Arial" w:hAnsi="Arial" w:eastAsia="Arial" w:cs="Arial"/>
          <w:sz w:val="22"/>
          <w:szCs w:val="22"/>
        </w:rPr>
      </w:pPr>
      <w:r>
        <w:rPr>
          <w:rFonts w:eastAsia="Arial" w:cs="Arial"/>
          <w:sz w:val="22"/>
          <w:szCs w:val="22"/>
        </w:rPr>
        <w:t>Choose the appropriate type from the Type dropdown. The type you select determines what gets created on each side of the relationship — a single link field or a related records panel. Refer to Section 2.3 for a full breakdown of what each type produces.</w:t>
      </w:r>
    </w:p>
    <w:p>
      <w:pPr>
        <w:pStyle w:val="Normal"/>
        <w:bidi w:val="0"/>
        <w:jc w:val="start"/>
        <w:rPr/>
      </w:pPr>
      <w:r>
        <w:rPr/>
      </w:r>
    </w:p>
    <w:p>
      <w:pPr>
        <w:pStyle w:val="Normal"/>
        <w:bidi w:val="0"/>
        <w:spacing w:before="0" w:after="120"/>
        <w:jc w:val="start"/>
        <w:rPr/>
      </w:pPr>
      <w:r>
        <w:rPr>
          <w:rFonts w:eastAsia="Arial" w:cs="Arial"/>
          <w:sz w:val="22"/>
          <w:szCs w:val="22"/>
        </w:rPr>
        <w:t>Use the following guidance to choose the right type:</w:t>
      </w:r>
    </w:p>
    <w:p>
      <w:pPr>
        <w:pStyle w:val="Normal"/>
        <w:bidi w:val="0"/>
        <w:jc w:val="start"/>
        <w:rPr/>
      </w:pPr>
      <w:r>
        <w:rPr/>
      </w:r>
    </w:p>
    <w:p>
      <w:pPr>
        <w:pStyle w:val="ListParagraph"/>
        <w:numPr>
          <w:ilvl w:val="0"/>
          <w:numId w:val="33"/>
        </w:numPr>
        <w:bidi w:val="0"/>
        <w:spacing w:before="0" w:after="80"/>
        <w:jc w:val="start"/>
        <w:rPr>
          <w:rFonts w:ascii="Arial" w:hAnsi="Arial" w:eastAsia="Arial" w:cs="Arial"/>
          <w:sz w:val="22"/>
          <w:szCs w:val="22"/>
        </w:rPr>
      </w:pPr>
      <w:r>
        <w:rPr>
          <w:rFonts w:eastAsia="Arial" w:cs="Arial"/>
          <w:sz w:val="22"/>
          <w:szCs w:val="22"/>
        </w:rPr>
        <w:t>Many-to-One — use this when many records of the Source Entity (Left Side) each point to one record in the Foreign Entity (Right Side). For example, many Engagements each have one Assigned Mentor. This puts a single link field on the Source Entity (Engagement) and a related records panel on the Foreign Entity (Contact).</w:t>
      </w:r>
    </w:p>
    <w:p>
      <w:pPr>
        <w:pStyle w:val="ListParagraph"/>
        <w:numPr>
          <w:ilvl w:val="0"/>
          <w:numId w:val="34"/>
        </w:numPr>
        <w:bidi w:val="0"/>
        <w:spacing w:before="0" w:after="80"/>
        <w:jc w:val="start"/>
        <w:rPr>
          <w:rFonts w:ascii="Arial" w:hAnsi="Arial" w:eastAsia="Arial" w:cs="Arial"/>
          <w:sz w:val="22"/>
          <w:szCs w:val="22"/>
        </w:rPr>
      </w:pPr>
      <w:r>
        <w:rPr>
          <w:rFonts w:eastAsia="Arial" w:cs="Arial"/>
          <w:sz w:val="22"/>
          <w:szCs w:val="22"/>
        </w:rPr>
        <w:t>One-to-Many — use this when one record in the Source Entity (Left Side) is linked to many records in the Foreign Entity (Right Side). This is the mirror of Many-to-One — the end result is identical, but you are defining it from the opposite entity's perspective.</w:t>
      </w:r>
    </w:p>
    <w:p>
      <w:pPr>
        <w:pStyle w:val="ListParagraph"/>
        <w:numPr>
          <w:ilvl w:val="0"/>
          <w:numId w:val="35"/>
        </w:numPr>
        <w:bidi w:val="0"/>
        <w:spacing w:before="0" w:after="80"/>
        <w:jc w:val="start"/>
        <w:rPr>
          <w:rFonts w:ascii="Arial" w:hAnsi="Arial" w:eastAsia="Arial" w:cs="Arial"/>
          <w:sz w:val="22"/>
          <w:szCs w:val="22"/>
        </w:rPr>
      </w:pPr>
      <w:r>
        <w:rPr>
          <w:rFonts w:eastAsia="Arial" w:cs="Arial"/>
          <w:sz w:val="22"/>
          <w:szCs w:val="22"/>
        </w:rPr>
        <w:t>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36"/>
        </w:numPr>
        <w:bidi w:val="0"/>
        <w:spacing w:before="0" w:after="80"/>
        <w:jc w:val="start"/>
        <w:rPr>
          <w:rFonts w:ascii="Arial" w:hAnsi="Arial" w:eastAsia="Arial" w:cs="Arial"/>
          <w:sz w:val="22"/>
          <w:szCs w:val="22"/>
        </w:rPr>
      </w:pPr>
      <w:r>
        <w:rPr>
          <w:rFonts w:eastAsia="Arial" w:cs="Arial"/>
          <w:sz w:val="22"/>
          <w:szCs w:val="22"/>
        </w:rPr>
        <w:t>One-to-One — use this when each record on one side links to exactly one record on the other side, and vice versa. This puts a single link field on both sides.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3 — Configure Both Sides</w:t>
      </w:r>
    </w:p>
    <w:p>
      <w:pPr>
        <w:pStyle w:val="Normal"/>
        <w:bidi w:val="0"/>
        <w:spacing w:before="0" w:after="120"/>
        <w:jc w:val="start"/>
        <w:rPr>
          <w:rFonts w:ascii="Arial" w:hAnsi="Arial" w:eastAsia="Arial" w:cs="Arial"/>
          <w:sz w:val="22"/>
          <w:szCs w:val="22"/>
        </w:rPr>
      </w:pPr>
      <w:r>
        <w:rPr>
          <w:rFonts w:eastAsia="Arial" w:cs="Arial"/>
          <w:sz w:val="22"/>
          <w:szCs w:val="22"/>
        </w:rPr>
        <w:t>The dialog has a left side (source entity) and a right side (foreign entity). Fill in both:</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000"/>
        <w:gridCol w:w="3678"/>
        <w:gridCol w:w="3682"/>
      </w:tblGrid>
      <w:tr>
        <w:trPr/>
        <w:tc>
          <w:tcPr>
            <w:tcW w:w="2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Side</w:t>
            </w:r>
          </w:p>
        </w:tc>
        <w:tc>
          <w:tcPr>
            <w:tcW w:w="3678"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682"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(source)</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Entity</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Auto-populated with the current entity</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(source)</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Auto-populated (leave as default)</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(source)</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 for the related panel on the foreign entity record</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(foreign)</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Foreign Entity</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The entity this field will link to</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(foreign)</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Internal field name (camelCase, e.g. assignedMentor)</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(foreign)</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Display label shown in the UI (e.g. Assigned Mentor)</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An important point about how labels cross sides:</w:t>
      </w:r>
    </w:p>
    <w:p>
      <w:pPr>
        <w:pStyle w:val="ListParagraph"/>
        <w:numPr>
          <w:ilvl w:val="0"/>
          <w:numId w:val="37"/>
        </w:numPr>
        <w:bidi w:val="0"/>
        <w:spacing w:before="0" w:after="80"/>
        <w:jc w:val="start"/>
        <w:rPr>
          <w:rFonts w:ascii="Arial" w:hAnsi="Arial" w:eastAsia="Arial" w:cs="Arial"/>
          <w:sz w:val="22"/>
          <w:szCs w:val="22"/>
        </w:rPr>
      </w:pPr>
      <w:r>
        <w:rPr>
          <w:rFonts w:eastAsia="Arial" w:cs="Arial"/>
          <w:sz w:val="22"/>
          <w:szCs w:val="22"/>
        </w:rPr>
        <w:t>The entity on the Left side of the dialog will display the Label defined on the Right side in its UI — for example, the Left entity (Engagement) will show the Right-side Label (Assigned Mentor) as a field on its detail page.</w:t>
      </w:r>
    </w:p>
    <w:p>
      <w:pPr>
        <w:pStyle w:val="ListParagraph"/>
        <w:numPr>
          <w:ilvl w:val="0"/>
          <w:numId w:val="38"/>
        </w:numPr>
        <w:bidi w:val="0"/>
        <w:spacing w:before="0" w:after="80"/>
        <w:jc w:val="start"/>
        <w:rPr>
          <w:rFonts w:ascii="Arial" w:hAnsi="Arial" w:eastAsia="Arial" w:cs="Arial"/>
          <w:sz w:val="22"/>
          <w:szCs w:val="22"/>
        </w:rPr>
      </w:pPr>
      <w:r>
        <w:rPr>
          <w:rFonts w:eastAsia="Arial" w:cs="Arial"/>
          <w:sz w:val="22"/>
          <w:szCs w:val="22"/>
        </w:rPr>
        <w:t>The entity on the Right side of the dialog will display the Label defined on the Left side in its UI — for example, the Right entity (Contact) will show the Left-side Label (Engagements) as the title of its related records panel.</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Think of it as a cross: each side's label is what the other side shows. Before saving, confirm that both labels make sense from the perspective of the entity that will actually display them.</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4 — Select Filter (Optional)</w:t>
      </w:r>
    </w:p>
    <w:p>
      <w:pPr>
        <w:pStyle w:val="Normal"/>
        <w:bidi w:val="0"/>
        <w:spacing w:before="0" w:after="120"/>
        <w:jc w:val="start"/>
        <w:rPr>
          <w:rFonts w:ascii="Arial" w:hAnsi="Arial" w:eastAsia="Arial" w:cs="Arial"/>
          <w:sz w:val="22"/>
          <w:szCs w:val="22"/>
        </w:rPr>
      </w:pPr>
      <w:r>
        <w:rPr>
          <w:rFonts w:eastAsia="Arial" w:cs="Arial"/>
          <w:sz w:val="22"/>
          <w:szCs w:val="22"/>
        </w:rPr>
        <w:t>The Select Filter dropdown restricts which records appear in the lookup popup when a user fills in this field. For example, filtering a Contact link to show only Mentors.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5 — Save</w:t>
      </w:r>
    </w:p>
    <w:p>
      <w:pPr>
        <w:pStyle w:val="Normal"/>
        <w:bidi w:val="0"/>
        <w:spacing w:before="0" w:after="120"/>
        <w:jc w:val="start"/>
        <w:rPr>
          <w:rFonts w:ascii="Arial" w:hAnsi="Arial" w:eastAsia="Arial" w:cs="Arial"/>
          <w:sz w:val="22"/>
          <w:szCs w:val="22"/>
        </w:rPr>
      </w:pPr>
      <w:r>
        <w:rPr>
          <w:rFonts w:eastAsia="Arial" w:cs="Arial"/>
          <w:sz w:val="22"/>
          <w:szCs w:val="22"/>
        </w:rPr>
        <w:t>Click Save. EspoCRM will create the relationship and generate the corresponding link field on the source entity. The field will now appear in the entity's Fields list as type Link.</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2.6 Making the Relationship Visible in the UI</w:t>
      </w:r>
    </w:p>
    <w:p>
      <w:pPr>
        <w:pStyle w:val="Normal"/>
        <w:bidi w:val="0"/>
        <w:spacing w:before="0" w:after="120"/>
        <w:jc w:val="start"/>
        <w:rPr>
          <w:rFonts w:ascii="Arial" w:hAnsi="Arial" w:eastAsia="Arial" w:cs="Arial"/>
          <w:sz w:val="22"/>
          <w:szCs w:val="22"/>
        </w:rPr>
      </w:pPr>
      <w:r>
        <w:rPr>
          <w:rFonts w:eastAsia="Arial" w:cs="Arial"/>
          <w:sz w:val="22"/>
          <w:szCs w:val="22"/>
        </w:rPr>
        <w:t>Creating a relationship adds it to the database, but nothing will appear on screen until you configure the layouts. Where you make that configuration depends on which side of the relationship you are on and what you want to display.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 Many-to-One relationship always produces two things:</w:t>
      </w:r>
    </w:p>
    <w:p>
      <w:pPr>
        <w:pStyle w:val="ListParagraph"/>
        <w:numPr>
          <w:ilvl w:val="0"/>
          <w:numId w:val="39"/>
        </w:numPr>
        <w:bidi w:val="0"/>
        <w:spacing w:before="0" w:after="80"/>
        <w:jc w:val="start"/>
        <w:rPr>
          <w:rFonts w:ascii="Arial" w:hAnsi="Arial" w:eastAsia="Arial" w:cs="Arial"/>
          <w:sz w:val="22"/>
          <w:szCs w:val="22"/>
        </w:rPr>
      </w:pPr>
      <w:r>
        <w:rPr>
          <w:rFonts w:eastAsia="Arial" w:cs="Arial"/>
          <w:sz w:val="22"/>
          <w:szCs w:val="22"/>
        </w:rPr>
        <w:t>A link field on the source entity (the "many" side) — e.g., Assigned Mentor on Engagement</w:t>
      </w:r>
    </w:p>
    <w:p>
      <w:pPr>
        <w:pStyle w:val="ListParagraph"/>
        <w:numPr>
          <w:ilvl w:val="0"/>
          <w:numId w:val="40"/>
        </w:numPr>
        <w:bidi w:val="0"/>
        <w:spacing w:before="0" w:after="80"/>
        <w:jc w:val="start"/>
        <w:rPr>
          <w:rFonts w:ascii="Arial" w:hAnsi="Arial" w:eastAsia="Arial" w:cs="Arial"/>
          <w:sz w:val="22"/>
          <w:szCs w:val="22"/>
        </w:rPr>
      </w:pPr>
      <w:r>
        <w:rPr>
          <w:rFonts w:eastAsia="Arial" w:cs="Arial"/>
          <w:sz w:val="22"/>
          <w:szCs w:val="22"/>
        </w:rPr>
        <w:t>A related records panel on the foreign entity (the "one" side) — e.g., an Engagements panel on Contact</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Each of these is configured in a different place. The table below explains when to use each layout type:</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198"/>
        <w:gridCol w:w="3002"/>
        <w:gridCol w:w="4160"/>
      </w:tblGrid>
      <w:tr>
        <w:trPr/>
        <w:tc>
          <w:tcPr>
            <w:tcW w:w="2198"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Layout Type</w:t>
            </w:r>
          </w:p>
        </w:tc>
        <w:tc>
          <w:tcPr>
            <w:tcW w:w="3002"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What It Controls</w:t>
            </w:r>
          </w:p>
        </w:tc>
        <w:tc>
          <w:tcPr>
            <w:tcW w:w="4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Example</w:t>
            </w:r>
          </w:p>
        </w:tc>
      </w:tr>
      <w:tr>
        <w:trPr/>
        <w:tc>
          <w:tcPr>
            <w:tcW w:w="21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Detail View / Edit View</w:t>
            </w:r>
          </w:p>
        </w:tc>
        <w:tc>
          <w:tcPr>
            <w:tcW w:w="30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 single link field on the source entity</w:t>
            </w:r>
          </w:p>
        </w:tc>
        <w:tc>
          <w:tcPr>
            <w:tcW w:w="4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 Mentor field visible when viewing or editing an Engagement record</w:t>
            </w:r>
          </w:p>
        </w:tc>
      </w:tr>
      <w:tr>
        <w:trPr/>
        <w:tc>
          <w:tcPr>
            <w:tcW w:w="21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Bottom Panels</w:t>
            </w:r>
          </w:p>
        </w:tc>
        <w:tc>
          <w:tcPr>
            <w:tcW w:w="30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 panel showing all linked child records on the foreign entity</w:t>
            </w:r>
          </w:p>
        </w:tc>
        <w:tc>
          <w:tcPr>
            <w:tcW w:w="4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 panel listing all engagements when viewing a Contact or Account record</w:t>
            </w:r>
          </w:p>
        </w:tc>
      </w:tr>
      <w:tr>
        <w:trPr/>
        <w:tc>
          <w:tcPr>
            <w:tcW w:w="21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List (Small)</w:t>
            </w:r>
          </w:p>
        </w:tc>
        <w:tc>
          <w:tcPr>
            <w:tcW w:w="30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Columns shown inside related records panels on other entity pages</w:t>
            </w:r>
          </w:p>
        </w:tc>
        <w:tc>
          <w:tcPr>
            <w:tcW w:w="4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Which Engagement fields appear in the panel summary on the Account page</w:t>
            </w:r>
          </w:p>
        </w:tc>
      </w:tr>
    </w:tbl>
    <w:p>
      <w:pPr>
        <w:pStyle w:val="Normal"/>
        <w:bidi w:val="0"/>
        <w:jc w:val="start"/>
        <w:rPr/>
      </w:pPr>
      <w:r>
        <w:rPr/>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Scenario A: Showing a Link Field on the Source Entity</w:t>
      </w:r>
    </w:p>
    <w:p>
      <w:pPr>
        <w:pStyle w:val="Normal"/>
        <w:bidi w:val="0"/>
        <w:spacing w:before="0" w:after="120"/>
        <w:jc w:val="start"/>
        <w:rPr>
          <w:rFonts w:ascii="Arial" w:hAnsi="Arial" w:eastAsia="Arial" w:cs="Arial"/>
          <w:sz w:val="22"/>
          <w:szCs w:val="22"/>
        </w:rPr>
      </w:pPr>
      <w:r>
        <w:rPr>
          <w:rFonts w:eastAsia="Arial" w:cs="Arial"/>
          <w:sz w:val="22"/>
          <w:szCs w:val="22"/>
        </w:rPr>
        <w:t>Use this when you want to display the link field itself on a record — for example, showing which Mentor is assigned to an Engagement when you open that Engagement.</w:t>
      </w:r>
    </w:p>
    <w:p>
      <w:pPr>
        <w:pStyle w:val="Normal"/>
        <w:bidi w:val="0"/>
        <w:jc w:val="start"/>
        <w:rPr/>
      </w:pPr>
      <w:r>
        <w:rPr/>
      </w:r>
    </w:p>
    <w:p>
      <w:pPr>
        <w:pStyle w:val="ListParagraph"/>
        <w:numPr>
          <w:ilvl w:val="0"/>
          <w:numId w:val="41"/>
        </w:numPr>
        <w:bidi w:val="0"/>
        <w:spacing w:before="0" w:after="100"/>
        <w:jc w:val="start"/>
        <w:rPr>
          <w:rFonts w:ascii="Arial" w:hAnsi="Arial" w:eastAsia="Arial" w:cs="Arial"/>
          <w:sz w:val="22"/>
          <w:szCs w:val="22"/>
        </w:rPr>
      </w:pPr>
      <w:r>
        <w:rPr>
          <w:rFonts w:eastAsia="Arial" w:cs="Arial"/>
          <w:sz w:val="22"/>
          <w:szCs w:val="22"/>
        </w:rPr>
        <w:t>Go to: Admin → Entity Manager → [Source Entity] → Layouts → Detail View</w:t>
      </w:r>
    </w:p>
    <w:p>
      <w:pPr>
        <w:pStyle w:val="ListParagraph"/>
        <w:numPr>
          <w:ilvl w:val="0"/>
          <w:numId w:val="42"/>
        </w:numPr>
        <w:bidi w:val="0"/>
        <w:spacing w:before="0" w:after="100"/>
        <w:jc w:val="start"/>
        <w:rPr>
          <w:rFonts w:ascii="Arial" w:hAnsi="Arial" w:eastAsia="Arial" w:cs="Arial"/>
          <w:sz w:val="22"/>
          <w:szCs w:val="22"/>
        </w:rPr>
      </w:pPr>
      <w:r>
        <w:rPr>
          <w:rFonts w:eastAsia="Arial" w:cs="Arial"/>
          <w:sz w:val="22"/>
          <w:szCs w:val="22"/>
        </w:rPr>
        <w:t>Drag the link field (e.g., Assigned Mentor) from the available fields panel into the layout. Click Save.</w:t>
      </w:r>
    </w:p>
    <w:p>
      <w:pPr>
        <w:pStyle w:val="ListParagraph"/>
        <w:numPr>
          <w:ilvl w:val="0"/>
          <w:numId w:val="43"/>
        </w:numPr>
        <w:bidi w:val="0"/>
        <w:spacing w:before="0" w:after="100"/>
        <w:jc w:val="start"/>
        <w:rPr>
          <w:rFonts w:ascii="Arial" w:hAnsi="Arial" w:eastAsia="Arial" w:cs="Arial"/>
          <w:sz w:val="22"/>
          <w:szCs w:val="22"/>
        </w:rPr>
      </w:pPr>
      <w:r>
        <w:rPr>
          <w:rFonts w:eastAsia="Arial" w:cs="Arial"/>
          <w:sz w:val="22"/>
          <w:szCs w:val="22"/>
        </w:rPr>
        <w:t>Repeat for Edit View so the field can be set when creating or editing a record.</w:t>
      </w:r>
    </w:p>
    <w:p>
      <w:pPr>
        <w:pStyle w:val="ListParagraph"/>
        <w:numPr>
          <w:ilvl w:val="0"/>
          <w:numId w:val="44"/>
        </w:numPr>
        <w:bidi w:val="0"/>
        <w:spacing w:before="0" w:after="100"/>
        <w:jc w:val="start"/>
        <w:rPr>
          <w:rFonts w:ascii="Arial" w:hAnsi="Arial" w:eastAsia="Arial" w:cs="Arial"/>
          <w:sz w:val="22"/>
          <w:szCs w:val="22"/>
        </w:rPr>
      </w:pPr>
      <w:r>
        <w:rPr>
          <w:rFonts w:eastAsia="Arial" w:cs="Arial"/>
          <w:sz w:val="22"/>
          <w:szCs w:val="22"/>
        </w:rPr>
        <w:t>Optionally add to List View if you want the field visible as a column in the records list.</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Scenario B: Showing a Related Records Panel on the Foreign Entity</w:t>
      </w:r>
    </w:p>
    <w:p>
      <w:pPr>
        <w:pStyle w:val="Normal"/>
        <w:bidi w:val="0"/>
        <w:spacing w:before="0" w:after="120"/>
        <w:jc w:val="start"/>
        <w:rPr>
          <w:rFonts w:ascii="Arial" w:hAnsi="Arial" w:eastAsia="Arial" w:cs="Arial"/>
          <w:sz w:val="22"/>
          <w:szCs w:val="22"/>
        </w:rPr>
      </w:pPr>
      <w:r>
        <w:rPr>
          <w:rFonts w:eastAsia="Arial" w:cs="Arial"/>
          <w:sz w:val="22"/>
          <w:szCs w:val="22"/>
        </w:rPr>
        <w:t>Use this when you want to display a list of all linked child records on the parent record — for example, showing all Engagements associated with an Account or Contact when you open that Account or Contact.</w:t>
      </w:r>
    </w:p>
    <w:p>
      <w:pPr>
        <w:pStyle w:val="Normal"/>
        <w:bidi w:val="0"/>
        <w:jc w:val="start"/>
        <w:rPr/>
      </w:pPr>
      <w:r>
        <w:rPr/>
      </w:r>
    </w:p>
    <w:p>
      <w:pPr>
        <w:pStyle w:val="ListParagraph"/>
        <w:numPr>
          <w:ilvl w:val="0"/>
          <w:numId w:val="45"/>
        </w:numPr>
        <w:bidi w:val="0"/>
        <w:spacing w:before="0" w:after="100"/>
        <w:jc w:val="start"/>
        <w:rPr>
          <w:rFonts w:ascii="Arial" w:hAnsi="Arial" w:eastAsia="Arial" w:cs="Arial"/>
          <w:sz w:val="22"/>
          <w:szCs w:val="22"/>
        </w:rPr>
      </w:pPr>
      <w:r>
        <w:rPr>
          <w:rFonts w:eastAsia="Arial" w:cs="Arial"/>
          <w:sz w:val="22"/>
          <w:szCs w:val="22"/>
        </w:rPr>
        <w:t>Go to: Admin → Entity Manager → [Foreign Entity] → Layouts → Bottom Panels</w:t>
      </w:r>
    </w:p>
    <w:p>
      <w:pPr>
        <w:pStyle w:val="ListParagraph"/>
        <w:numPr>
          <w:ilvl w:val="0"/>
          <w:numId w:val="46"/>
        </w:numPr>
        <w:bidi w:val="0"/>
        <w:spacing w:before="0" w:after="100"/>
        <w:jc w:val="start"/>
        <w:rPr>
          <w:rFonts w:ascii="Arial" w:hAnsi="Arial" w:eastAsia="Arial" w:cs="Arial"/>
          <w:sz w:val="22"/>
          <w:szCs w:val="22"/>
        </w:rPr>
      </w:pPr>
      <w:r>
        <w:rPr>
          <w:rFonts w:eastAsia="Arial" w:cs="Arial"/>
          <w:sz w:val="22"/>
          <w:szCs w:val="22"/>
        </w:rPr>
        <w:t>Find the related entity panel (e.g., Engagements) in the available panels list.</w:t>
      </w:r>
    </w:p>
    <w:p>
      <w:pPr>
        <w:pStyle w:val="ListParagraph"/>
        <w:numPr>
          <w:ilvl w:val="0"/>
          <w:numId w:val="47"/>
        </w:numPr>
        <w:bidi w:val="0"/>
        <w:spacing w:before="0" w:after="100"/>
        <w:jc w:val="start"/>
        <w:rPr>
          <w:rFonts w:ascii="Arial" w:hAnsi="Arial" w:eastAsia="Arial" w:cs="Arial"/>
          <w:sz w:val="22"/>
          <w:szCs w:val="22"/>
        </w:rPr>
      </w:pPr>
      <w:r>
        <w:rPr>
          <w:rFonts w:eastAsia="Arial" w:cs="Arial"/>
          <w:sz w:val="22"/>
          <w:szCs w:val="22"/>
        </w:rPr>
        <w:t>Drag it into the active area and position it where you want it to appear. Click Save.</w:t>
      </w:r>
    </w:p>
    <w:p>
      <w:pPr>
        <w:pStyle w:val="ListParagraph"/>
        <w:numPr>
          <w:ilvl w:val="0"/>
          <w:numId w:val="48"/>
        </w:numPr>
        <w:bidi w:val="0"/>
        <w:spacing w:before="0" w:after="100"/>
        <w:jc w:val="start"/>
        <w:rPr>
          <w:rFonts w:ascii="Arial" w:hAnsi="Arial" w:eastAsia="Arial" w:cs="Arial"/>
          <w:sz w:val="22"/>
          <w:szCs w:val="22"/>
        </w:rPr>
      </w:pPr>
      <w:r>
        <w:rPr>
          <w:rFonts w:eastAsia="Arial" w:cs="Arial"/>
          <w:sz w:val="22"/>
          <w:szCs w:val="22"/>
        </w:rPr>
        <w:t>To control which columns appear inside the panel, go to the child entity's List (Small) layout (e.g., Admin → Entity Manager → Engagement → Layouts → List (Small)). See Section 4 for details.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Both scenarios are independent — you can configure one, both, or neither. For example, you might add the Assigned Mentor field to the Engagement Detail View (Scenario A) without adding an Engagements panel to the Contact Bottom Panels (Scenario B), or vice versa.</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2.7 Example: Assigned Mentor on Engagement</w:t>
      </w:r>
    </w:p>
    <w:p>
      <w:pPr>
        <w:pStyle w:val="Normal"/>
        <w:bidi w:val="0"/>
        <w:spacing w:before="0" w:after="120"/>
        <w:jc w:val="start"/>
        <w:rPr>
          <w:rFonts w:ascii="Arial" w:hAnsi="Arial" w:eastAsia="Arial" w:cs="Arial"/>
          <w:sz w:val="22"/>
          <w:szCs w:val="22"/>
        </w:rPr>
      </w:pPr>
      <w:r>
        <w:rPr>
          <w:rFonts w:eastAsia="Arial" w:cs="Arial"/>
          <w:sz w:val="22"/>
          <w:szCs w:val="22"/>
        </w:rPr>
        <w:t>The following configuration adds an Assigned Mentor link field to the Engagement entity, pointing to the Contact entity (where mentors are stored).</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000"/>
        <w:gridCol w:w="3678"/>
        <w:gridCol w:w="3682"/>
      </w:tblGrid>
      <w:tr>
        <w:trPr/>
        <w:tc>
          <w:tcPr>
            <w:tcW w:w="2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Side</w:t>
            </w:r>
          </w:p>
        </w:tc>
        <w:tc>
          <w:tcPr>
            <w:tcW w:w="3678"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682"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(Engagement)</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Entity</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(Engagement)</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(Engagement)</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(Contact)</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Foreign Entity</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(Contact)</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assignedMentor</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(Contact)</w:t>
            </w:r>
          </w:p>
        </w:tc>
        <w:tc>
          <w:tcPr>
            <w:tcW w:w="367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 Mentor</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left-side settings control how a related Engagements panel appears on a Contact record. The right-side settings define the Assigned Mentor link field on each Engagement record.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With Select Filter set to 'All', the lookup popup will show all Contacts regardless of Contact Type. Users should be aware to select only Contacts marked as Mentors. A filtered lookup can be configured in a future enhancement.</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2.8 Foreign Fields — Displaying Linked Entity Data</w:t>
      </w:r>
    </w:p>
    <w:p>
      <w:pPr>
        <w:pStyle w:val="Normal"/>
        <w:bidi w:val="0"/>
        <w:spacing w:before="0" w:after="120"/>
        <w:jc w:val="start"/>
        <w:rPr>
          <w:rFonts w:ascii="Arial" w:hAnsi="Arial" w:eastAsia="Arial" w:cs="Arial"/>
          <w:sz w:val="22"/>
          <w:szCs w:val="22"/>
        </w:rPr>
      </w:pPr>
      <w:r>
        <w:rPr>
          <w:rFonts w:eastAsia="Arial" w:cs="Arial"/>
          <w:sz w:val="22"/>
          <w:szCs w:val="22"/>
        </w:rPr>
        <w:t>A Foreign field displays a value from a related entity by reaching through an existing link (relationship). It is a read-only mirror — the actual data lives on the related record, but it appears on this entity for display, filtering, sorting, and reporting purposes. Foreign fields are the standard way to surface data from a parent or related entity inside list views, search filters, and reports without requiring users to click through to the related record.</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How Foreign Fields Work</w:t>
      </w:r>
    </w:p>
    <w:p>
      <w:pPr>
        <w:pStyle w:val="Normal"/>
        <w:bidi w:val="0"/>
        <w:spacing w:before="0" w:after="120"/>
        <w:jc w:val="start"/>
        <w:rPr>
          <w:rFonts w:ascii="Arial" w:hAnsi="Arial" w:eastAsia="Arial" w:cs="Arial"/>
          <w:sz w:val="22"/>
          <w:szCs w:val="22"/>
        </w:rPr>
      </w:pPr>
      <w:r>
        <w:rPr>
          <w:rFonts w:eastAsia="Arial" w:cs="Arial"/>
          <w:sz w:val="22"/>
          <w:szCs w:val="22"/>
        </w:rPr>
        <w:t>A Foreign field requires a link (relationship) to already exist. It does not create a relationship; it follows one that has already been defined in the Relationships tab. Once configured, the Foreign field behaves like a regular field: it appears in list views, can be searched and filtered on, and can be referenced in reports and formulas. The displayed value updates when the source record changes or when the host record is linked to a different related record.</w:t>
      </w:r>
    </w:p>
    <w:p>
      <w:pPr>
        <w:pStyle w:val="Normal"/>
        <w:bidi w:val="0"/>
        <w:spacing w:before="0" w:after="120"/>
        <w:jc w:val="start"/>
        <w:rPr>
          <w:rFonts w:ascii="Arial" w:hAnsi="Arial" w:eastAsia="Arial" w:cs="Arial"/>
          <w:sz w:val="22"/>
          <w:szCs w:val="22"/>
        </w:rPr>
      </w:pPr>
      <w:r>
        <w:rPr>
          <w:rFonts w:eastAsia="Arial" w:cs="Arial"/>
          <w:sz w:val="22"/>
          <w:szCs w:val="22"/>
        </w:rPr>
        <w:t>Foreign fields are most commonly used with Many-to-One links (the “many” side reaching up to the “one” side). With Many-to-Many links, behavior is undefined when the host record is linked to multiple related records, so Foreign fields should be limited to Many-to-One and One-to-One relationships in practice.</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Step-by-Step: Adding a Foreign Field</w:t>
      </w:r>
    </w:p>
    <w:p>
      <w:pPr>
        <w:pStyle w:val="Normal"/>
        <w:bidi w:val="0"/>
        <w:spacing w:before="0" w:after="120"/>
        <w:jc w:val="start"/>
        <w:rPr>
          <w:rFonts w:ascii="Arial" w:hAnsi="Arial" w:eastAsia="Arial" w:cs="Arial"/>
          <w:sz w:val="22"/>
          <w:szCs w:val="22"/>
        </w:rPr>
      </w:pPr>
      <w:r>
        <w:rPr>
          <w:rFonts w:eastAsia="Arial" w:cs="Arial"/>
          <w:sz w:val="22"/>
          <w:szCs w:val="22"/>
        </w:rPr>
        <w:t>The following steps assume the underlying link already exists. If the link has not been created yet, complete Section 2.5 first, then return here.</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1 — Open the Fields Tab</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[Entity that hosts the Foreign field] → Fields → Add Field.</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2 — Select the Foreign Field Type</w:t>
      </w:r>
    </w:p>
    <w:p>
      <w:pPr>
        <w:pStyle w:val="Normal"/>
        <w:bidi w:val="0"/>
        <w:spacing w:before="0" w:after="120"/>
        <w:jc w:val="start"/>
        <w:rPr>
          <w:rFonts w:ascii="Arial" w:hAnsi="Arial" w:eastAsia="Arial" w:cs="Arial"/>
          <w:sz w:val="22"/>
          <w:szCs w:val="22"/>
        </w:rPr>
      </w:pPr>
      <w:r>
        <w:rPr>
          <w:rFonts w:eastAsia="Arial" w:cs="Arial"/>
          <w:sz w:val="22"/>
          <w:szCs w:val="22"/>
        </w:rPr>
        <w:t>In the field-type list, choose Foreign. The form will change to show Link and Field selectors specific to this type.</w:t>
      </w:r>
    </w:p>
    <w:p>
      <w:pPr>
        <w:pStyle w:val="Normal"/>
        <w:bidi w:val="0"/>
        <w:jc w:val="start"/>
        <w:rPr/>
      </w:pPr>
      <w:r>
        <w:rPr/>
      </w:r>
    </w:p>
    <w:p>
      <w:pPr>
        <w:pStyle w:val="Heading3"/>
        <w:numPr>
          <w:ilvl w:val="0"/>
          <w:numId w:val="0"/>
        </w:numPr>
        <w:bidi w:val="0"/>
        <w:spacing w:before="180" w:after="80"/>
        <w:ind w:hanging="0" w:start="0"/>
        <w:jc w:val="start"/>
        <w:rPr/>
      </w:pPr>
      <w:r>
        <w:rPr>
          <w:rFonts w:eastAsia="Arial" w:cs="Arial" w:ascii="Arial" w:hAnsi="Arial"/>
          <w:b/>
          <w:bCs/>
          <w:color w:val="595959"/>
          <w:sz w:val="24"/>
          <w:szCs w:val="24"/>
        </w:rPr>
        <w:t>Step 3 — Choose the Link to Traverse</w:t>
      </w:r>
    </w:p>
    <w:p>
      <w:pPr>
        <w:pStyle w:val="Normal"/>
        <w:bidi w:val="0"/>
        <w:spacing w:before="0" w:after="120"/>
        <w:jc w:val="start"/>
        <w:rPr>
          <w:rFonts w:ascii="Arial" w:hAnsi="Arial" w:eastAsia="Arial" w:cs="Arial"/>
          <w:sz w:val="22"/>
          <w:szCs w:val="22"/>
        </w:rPr>
      </w:pPr>
      <w:r>
        <w:rPr>
          <w:rFonts w:eastAsia="Arial" w:cs="Arial"/>
          <w:sz w:val="22"/>
          <w:szCs w:val="22"/>
        </w:rPr>
        <w:t>The Link dropdown lists the existing relationships defined on this entity. Pick the relationship that points to the entity whose data you want to display. If the link you need is not in the list, the relationship has not been created yet — return to Section 2.5 to add it.</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4 — Choose the Field on the Linked Entity</w:t>
      </w:r>
    </w:p>
    <w:p>
      <w:pPr>
        <w:pStyle w:val="Normal"/>
        <w:bidi w:val="0"/>
        <w:spacing w:before="0" w:after="120"/>
        <w:jc w:val="start"/>
        <w:rPr>
          <w:rFonts w:ascii="Arial" w:hAnsi="Arial" w:eastAsia="Arial" w:cs="Arial"/>
          <w:sz w:val="22"/>
          <w:szCs w:val="22"/>
        </w:rPr>
      </w:pPr>
      <w:r>
        <w:rPr>
          <w:rFonts w:eastAsia="Arial" w:cs="Arial"/>
          <w:sz w:val="22"/>
          <w:szCs w:val="22"/>
        </w:rPr>
        <w:t>The Field dropdown lists the fields available on the related entity. Pick the field whose value should appear on this entity. Fields of type Varchar, Int, Float, Enum, Date, DateTime, Bool, and Text are all valid sources.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5 — Set Name and Label, then Save</w:t>
      </w:r>
    </w:p>
    <w:p>
      <w:pPr>
        <w:pStyle w:val="Normal"/>
        <w:bidi w:val="0"/>
        <w:spacing w:before="0" w:after="120"/>
        <w:jc w:val="start"/>
        <w:rPr>
          <w:rFonts w:ascii="Arial" w:hAnsi="Arial" w:eastAsia="Arial" w:cs="Arial"/>
          <w:sz w:val="22"/>
          <w:szCs w:val="22"/>
        </w:rPr>
      </w:pPr>
      <w:r>
        <w:rPr>
          <w:rFonts w:eastAsia="Arial" w:cs="Arial"/>
          <w:sz w:val="22"/>
          <w:szCs w:val="22"/>
        </w:rPr>
        <w:t>Enter an internal Name (camelCase, used in the API and formulas) and a Label (display name). Click Save. EspoCRM will populate the Foreign field on existing records during the next cache rebuild and on new records as they are created or linked.</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Example: Mentor Email on Engagement</w:t>
      </w:r>
    </w:p>
    <w:p>
      <w:pPr>
        <w:pStyle w:val="Normal"/>
        <w:bidi w:val="0"/>
        <w:spacing w:before="0" w:after="120"/>
        <w:jc w:val="start"/>
        <w:rPr>
          <w:rFonts w:ascii="Arial" w:hAnsi="Arial" w:eastAsia="Arial" w:cs="Arial"/>
          <w:sz w:val="22"/>
          <w:szCs w:val="22"/>
        </w:rPr>
      </w:pPr>
      <w:r>
        <w:rPr>
          <w:rFonts w:eastAsia="Arial" w:cs="Arial"/>
          <w:sz w:val="22"/>
          <w:szCs w:val="22"/>
        </w:rPr>
        <w:t>Building on the assignedMentor link created in Section 2.7, this configuration adds a Mentor Email Foreign field to the Engagement entity. The field will display the email address of whichever Contact is linked through assignedMentor, allowing the email to appear in Engagement list views and filters without joining to Contact in a report.</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3118"/>
        <w:gridCol w:w="6241"/>
      </w:tblGrid>
      <w:tr>
        <w:trPr/>
        <w:tc>
          <w:tcPr>
            <w:tcW w:w="3118"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624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311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Type</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Foreign</w:t>
            </w:r>
          </w:p>
        </w:tc>
      </w:tr>
      <w:tr>
        <w:trPr/>
        <w:tc>
          <w:tcPr>
            <w:tcW w:w="311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assignedMentorEmailAddress</w:t>
            </w:r>
          </w:p>
        </w:tc>
      </w:tr>
      <w:tr>
        <w:trPr/>
        <w:tc>
          <w:tcPr>
            <w:tcW w:w="311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 Email</w:t>
            </w:r>
          </w:p>
        </w:tc>
      </w:tr>
      <w:tr>
        <w:trPr/>
        <w:tc>
          <w:tcPr>
            <w:tcW w:w="311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assignedMentor</w:t>
            </w:r>
          </w:p>
        </w:tc>
      </w:tr>
      <w:tr>
        <w:trPr/>
        <w:tc>
          <w:tcPr>
            <w:tcW w:w="311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Field (on linked entity)</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emailAddress</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After saving, every Engagement record will show the linked mentor’s email address as a read-only field. The field can be added to the Engagement list view, used as a search filter, and included in reports without any additional join configuration.</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Important Constraints</w:t>
      </w:r>
    </w:p>
    <w:p>
      <w:pPr>
        <w:pStyle w:val="ListParagraph"/>
        <w:numPr>
          <w:ilvl w:val="0"/>
          <w:numId w:val="49"/>
        </w:numPr>
        <w:bidi w:val="0"/>
        <w:spacing w:before="0" w:after="100"/>
        <w:jc w:val="start"/>
        <w:rPr>
          <w:rFonts w:ascii="Arial" w:hAnsi="Arial" w:eastAsia="Arial" w:cs="Arial"/>
          <w:sz w:val="22"/>
          <w:szCs w:val="22"/>
        </w:rPr>
      </w:pPr>
      <w:r>
        <w:rPr>
          <w:rFonts w:eastAsia="Arial" w:cs="Arial"/>
          <w:sz w:val="22"/>
          <w:szCs w:val="22"/>
        </w:rPr>
        <w:t>Foreign fields are read-only on the host entity. To change the value, edit the source field on the related record (in the example above, edit the Contact’s email address) or change which related record is linked.</w:t>
      </w:r>
    </w:p>
    <w:p>
      <w:pPr>
        <w:pStyle w:val="ListParagraph"/>
        <w:numPr>
          <w:ilvl w:val="0"/>
          <w:numId w:val="50"/>
        </w:numPr>
        <w:bidi w:val="0"/>
        <w:spacing w:before="0" w:after="100"/>
        <w:jc w:val="start"/>
        <w:rPr>
          <w:rFonts w:ascii="Arial" w:hAnsi="Arial" w:eastAsia="Arial" w:cs="Arial"/>
          <w:sz w:val="22"/>
          <w:szCs w:val="22"/>
        </w:rPr>
      </w:pPr>
      <w:r>
        <w:rPr>
          <w:rFonts w:eastAsia="Arial" w:cs="Arial"/>
          <w:sz w:val="22"/>
          <w:szCs w:val="22"/>
        </w:rPr>
        <w:t>A Foreign field requires the link to exist before the field can be created. If the link is later removed, the Foreign field will become invalid and must be removed as well.</w:t>
      </w:r>
    </w:p>
    <w:p>
      <w:pPr>
        <w:pStyle w:val="ListParagraph"/>
        <w:numPr>
          <w:ilvl w:val="0"/>
          <w:numId w:val="51"/>
        </w:numPr>
        <w:bidi w:val="0"/>
        <w:spacing w:before="0" w:after="100"/>
        <w:jc w:val="start"/>
        <w:rPr/>
      </w:pPr>
      <w:r>
        <w:rPr>
          <w:rFonts w:eastAsia="Arial" w:cs="Arial"/>
          <w:sz w:val="22"/>
          <w:szCs w:val="22"/>
        </w:rPr>
        <w:t>When the source record changes, the displayed value updates, but workflow triggers should still be configured on the source entity rather than the host entity. Workflow conditions evaluating a Foreign field on the host entity may not always fire on source-record changes.</w:t>
      </w:r>
    </w:p>
    <w:p>
      <w:pPr>
        <w:pStyle w:val="ListParagraph"/>
        <w:numPr>
          <w:ilvl w:val="0"/>
          <w:numId w:val="52"/>
        </w:numPr>
        <w:bidi w:val="0"/>
        <w:spacing w:before="0" w:after="100"/>
        <w:jc w:val="start"/>
        <w:rPr>
          <w:rFonts w:ascii="Arial" w:hAnsi="Arial" w:eastAsia="Arial" w:cs="Arial"/>
          <w:sz w:val="22"/>
          <w:szCs w:val="22"/>
        </w:rPr>
      </w:pPr>
      <w:r>
        <w:rPr>
          <w:rFonts w:eastAsia="Arial" w:cs="Arial"/>
          <w:sz w:val="22"/>
          <w:szCs w:val="22"/>
        </w:rPr>
        <w:t>Foreign fields should be used with Many-to-One and One-to-One links. Use with Many-to-Many links is not recommended — when the host record is linked to multiple related records, the displayed value is undefined.</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2.9 One-to-One Relationships — In Depth</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2.9.1 Overview</w:t>
      </w:r>
    </w:p>
    <w:p>
      <w:pPr>
        <w:pStyle w:val="Normal"/>
        <w:bidi w:val="0"/>
        <w:spacing w:before="0" w:after="120"/>
        <w:jc w:val="start"/>
        <w:rPr>
          <w:rFonts w:ascii="Arial" w:hAnsi="Arial" w:eastAsia="Arial" w:cs="Arial"/>
          <w:sz w:val="22"/>
          <w:szCs w:val="22"/>
        </w:rPr>
      </w:pPr>
      <w:r>
        <w:rPr>
          <w:rFonts w:eastAsia="Arial" w:cs="Arial"/>
          <w:sz w:val="22"/>
          <w:szCs w:val="22"/>
        </w:rPr>
        <w:t>A one-to-one relationship links exactly one record on one side to exactly one record on the other side. Where many-to-one says “many engagements share one mentor” and many-to-many says “any contact can attend any session,” one-to-one says “this record corresponds to that record, and to no other on either side.”</w:t>
      </w:r>
    </w:p>
    <w:p>
      <w:pPr>
        <w:pStyle w:val="Normal"/>
        <w:bidi w:val="0"/>
        <w:spacing w:before="0" w:after="120"/>
        <w:jc w:val="start"/>
        <w:rPr>
          <w:rFonts w:ascii="Arial" w:hAnsi="Arial" w:eastAsia="Arial" w:cs="Arial"/>
          <w:sz w:val="22"/>
          <w:szCs w:val="22"/>
        </w:rPr>
      </w:pPr>
      <w:r>
        <w:rPr>
          <w:rFonts w:eastAsia="Arial" w:cs="Arial"/>
          <w:sz w:val="22"/>
          <w:szCs w:val="22"/>
        </w:rPr>
        <w:t>One-to-one is the least common relationship type in practice. The CBM model uses many-to-many and many-to-one extensively but has no one-to-one relationships in production today. This is not unusual. Most data that initially looks like it calls for one-to-one is better modeled as fields directly on the parent entity (when the data is small and shares the parent’s lifecycle) or as a shared entity with a discriminator field (when several entity concepts overlap in most of their fields — Contact is CBM’s example, with contactType distinguishing Mentor, Client, Donor, and so on).</w:t>
      </w:r>
    </w:p>
    <w:p>
      <w:pPr>
        <w:pStyle w:val="Normal"/>
        <w:bidi w:val="0"/>
        <w:spacing w:before="0" w:after="120"/>
        <w:jc w:val="start"/>
        <w:rPr>
          <w:rFonts w:ascii="Arial" w:hAnsi="Arial" w:eastAsia="Arial" w:cs="Arial"/>
          <w:sz w:val="22"/>
          <w:szCs w:val="22"/>
        </w:rPr>
      </w:pPr>
      <w:r>
        <w:rPr>
          <w:rFonts w:eastAsia="Arial" w:cs="Arial"/>
          <w:sz w:val="22"/>
          <w:szCs w:val="22"/>
        </w:rPr>
        <w:t>One-to-one earns its complexity when at least one of the following is true:</w:t>
      </w:r>
    </w:p>
    <w:p>
      <w:pPr>
        <w:pStyle w:val="ListParagraph"/>
        <w:numPr>
          <w:ilvl w:val="0"/>
          <w:numId w:val="53"/>
        </w:numPr>
        <w:bidi w:val="0"/>
        <w:spacing w:before="0" w:after="80"/>
        <w:jc w:val="start"/>
        <w:rPr>
          <w:rFonts w:ascii="Arial" w:hAnsi="Arial" w:eastAsia="Arial" w:cs="Arial"/>
          <w:sz w:val="22"/>
          <w:szCs w:val="22"/>
        </w:rPr>
      </w:pPr>
      <w:r>
        <w:rPr>
          <w:rFonts w:eastAsia="Arial" w:cs="Arial"/>
          <w:sz w:val="22"/>
          <w:szCs w:val="22"/>
        </w:rPr>
        <w:t>The “child” data has an independent lifecycle from the parent (created, updated, or deleted on its own cadence).</w:t>
      </w:r>
    </w:p>
    <w:p>
      <w:pPr>
        <w:pStyle w:val="ListParagraph"/>
        <w:numPr>
          <w:ilvl w:val="0"/>
          <w:numId w:val="54"/>
        </w:numPr>
        <w:bidi w:val="0"/>
        <w:spacing w:before="0" w:after="80"/>
        <w:jc w:val="start"/>
        <w:rPr>
          <w:rFonts w:ascii="Arial" w:hAnsi="Arial" w:eastAsia="Arial" w:cs="Arial"/>
          <w:sz w:val="22"/>
          <w:szCs w:val="22"/>
        </w:rPr>
      </w:pPr>
      <w:r>
        <w:rPr>
          <w:rFonts w:eastAsia="Arial" w:cs="Arial"/>
          <w:sz w:val="22"/>
          <w:szCs w:val="22"/>
        </w:rPr>
        <w:t>The child data is optional — most parent records have no child at all.</w:t>
      </w:r>
    </w:p>
    <w:p>
      <w:pPr>
        <w:pStyle w:val="ListParagraph"/>
        <w:numPr>
          <w:ilvl w:val="0"/>
          <w:numId w:val="55"/>
        </w:numPr>
        <w:bidi w:val="0"/>
        <w:spacing w:before="0" w:after="80"/>
        <w:jc w:val="start"/>
        <w:rPr>
          <w:rFonts w:ascii="Arial" w:hAnsi="Arial" w:eastAsia="Arial" w:cs="Arial"/>
          <w:sz w:val="22"/>
          <w:szCs w:val="22"/>
        </w:rPr>
      </w:pPr>
      <w:r>
        <w:rPr>
          <w:rFonts w:eastAsia="Arial" w:cs="Arial"/>
          <w:sz w:val="22"/>
          <w:szCs w:val="22"/>
        </w:rPr>
        <w:t>The child is the CRM’s reflection of a record owned by an external system (an email platform profile, a payment gateway customer record, a third-party identity object).</w:t>
      </w:r>
    </w:p>
    <w:p>
      <w:pPr>
        <w:pStyle w:val="ListParagraph"/>
        <w:numPr>
          <w:ilvl w:val="0"/>
          <w:numId w:val="56"/>
        </w:numPr>
        <w:bidi w:val="0"/>
        <w:spacing w:before="0" w:after="80"/>
        <w:jc w:val="start"/>
        <w:rPr>
          <w:rFonts w:ascii="Arial" w:hAnsi="Arial" w:eastAsia="Arial" w:cs="Arial"/>
          <w:sz w:val="22"/>
          <w:szCs w:val="22"/>
        </w:rPr>
      </w:pPr>
      <w:r>
        <w:rPr>
          <w:rFonts w:eastAsia="Arial" w:cs="Arial"/>
          <w:sz w:val="22"/>
          <w:szCs w:val="22"/>
        </w:rPr>
        <w:t>The child holds sensitive data that needs its own access control independent of the parent.</w:t>
      </w:r>
    </w:p>
    <w:p>
      <w:pPr>
        <w:pStyle w:val="ListParagraph"/>
        <w:numPr>
          <w:ilvl w:val="0"/>
          <w:numId w:val="57"/>
        </w:numPr>
        <w:bidi w:val="0"/>
        <w:spacing w:before="0" w:after="80"/>
        <w:jc w:val="start"/>
        <w:rPr>
          <w:rFonts w:ascii="Arial" w:hAnsi="Arial" w:eastAsia="Arial" w:cs="Arial"/>
          <w:sz w:val="22"/>
          <w:szCs w:val="22"/>
        </w:rPr>
      </w:pPr>
      <w:r>
        <w:rPr>
          <w:rFonts w:eastAsia="Arial" w:cs="Arial"/>
          <w:sz w:val="22"/>
          <w:szCs w:val="22"/>
        </w:rPr>
        <w:t>The child is large enough that loading it on every read of the parent would be wasteful.</w:t>
      </w:r>
    </w:p>
    <w:p>
      <w:pPr>
        <w:pStyle w:val="Normal"/>
        <w:bidi w:val="0"/>
        <w:spacing w:before="0" w:after="120"/>
        <w:jc w:val="start"/>
        <w:rPr>
          <w:rFonts w:ascii="Arial" w:hAnsi="Arial" w:eastAsia="Arial" w:cs="Arial"/>
          <w:sz w:val="22"/>
          <w:szCs w:val="22"/>
        </w:rPr>
      </w:pPr>
      <w:r>
        <w:rPr>
          <w:rFonts w:eastAsia="Arial" w:cs="Arial"/>
          <w:sz w:val="22"/>
          <w:szCs w:val="22"/>
        </w:rPr>
        <w:t>If none of these apply, prefer fields on the parent. If several apply, one-to-one is the right tool.</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2.9.2 One-to-One Right vs One-to-One Left</w:t>
      </w:r>
    </w:p>
    <w:p>
      <w:pPr>
        <w:pStyle w:val="Normal"/>
        <w:bidi w:val="0"/>
        <w:spacing w:before="0" w:after="120"/>
        <w:jc w:val="start"/>
        <w:rPr>
          <w:rFonts w:ascii="Arial" w:hAnsi="Arial" w:eastAsia="Arial" w:cs="Arial"/>
          <w:sz w:val="22"/>
          <w:szCs w:val="22"/>
        </w:rPr>
      </w:pPr>
      <w:r>
        <w:rPr>
          <w:rFonts w:eastAsia="Arial" w:cs="Arial"/>
          <w:sz w:val="22"/>
          <w:szCs w:val="22"/>
        </w:rPr>
        <w:t>EspoCRM offers two flavors of one-to-one, distinguished by which side holds the foreign key column in the underlying database table:</w:t>
      </w:r>
    </w:p>
    <w:p>
      <w:pPr>
        <w:pStyle w:val="ListParagraph"/>
        <w:numPr>
          <w:ilvl w:val="0"/>
          <w:numId w:val="58"/>
        </w:numPr>
        <w:bidi w:val="0"/>
        <w:spacing w:before="0" w:after="80"/>
        <w:jc w:val="start"/>
        <w:rPr>
          <w:rFonts w:ascii="Arial" w:hAnsi="Arial" w:eastAsia="Arial" w:cs="Arial"/>
          <w:sz w:val="22"/>
          <w:szCs w:val="22"/>
        </w:rPr>
      </w:pPr>
      <w:r>
        <w:rPr>
          <w:rFonts w:eastAsia="Arial" w:cs="Arial"/>
          <w:sz w:val="22"/>
          <w:szCs w:val="22"/>
        </w:rPr>
        <w:t>One-to-One Right — the foreign key lives on the right (foreign) entity. The left (source) entity has no FK column; it reaches the right side via the link.</w:t>
      </w:r>
    </w:p>
    <w:p>
      <w:pPr>
        <w:pStyle w:val="ListParagraph"/>
        <w:numPr>
          <w:ilvl w:val="0"/>
          <w:numId w:val="59"/>
        </w:numPr>
        <w:bidi w:val="0"/>
        <w:spacing w:before="0" w:after="80"/>
        <w:jc w:val="start"/>
        <w:rPr>
          <w:rFonts w:ascii="Arial" w:hAnsi="Arial" w:eastAsia="Arial" w:cs="Arial"/>
          <w:sz w:val="22"/>
          <w:szCs w:val="22"/>
        </w:rPr>
      </w:pPr>
      <w:r>
        <w:rPr>
          <w:rFonts w:eastAsia="Arial" w:cs="Arial"/>
          <w:sz w:val="22"/>
          <w:szCs w:val="22"/>
        </w:rPr>
        <w:t>One-to-One Left — the foreign key lives on the left (source) entity. The right entity has no FK column; it reaches the left side via the link.</w:t>
      </w:r>
    </w:p>
    <w:p>
      <w:pPr>
        <w:pStyle w:val="Normal"/>
        <w:bidi w:val="0"/>
        <w:spacing w:before="0" w:after="120"/>
        <w:jc w:val="start"/>
        <w:rPr/>
      </w:pPr>
      <w:r>
        <w:rPr>
          <w:rFonts w:eastAsia="Arial" w:cs="Arial"/>
          <w:sz w:val="22"/>
          <w:szCs w:val="22"/>
        </w:rPr>
        <w:t>Choosing between Right and Left is the single most consequential decision when defining a one-to-one relationship. The decision is not about which side “owns” the relationship conceptually — both sides can see and traverse the link in the UI either way. It is about where the FK column physically lives, which has three practical consequences.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340"/>
        <w:gridCol w:w="3510"/>
        <w:gridCol w:w="3510"/>
      </w:tblGrid>
      <w:tr>
        <w:trPr/>
        <w:tc>
          <w:tcPr>
            <w:tcW w:w="234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Aspect</w:t>
            </w:r>
          </w:p>
        </w:tc>
        <w:tc>
          <w:tcPr>
            <w:tcW w:w="351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One-to-One Right</w:t>
            </w:r>
          </w:p>
        </w:tc>
        <w:tc>
          <w:tcPr>
            <w:tcW w:w="351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One-to-One Left</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FK column location</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(foreign) entity</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(source) entity</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Faster joins from</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right side (which carries the index)</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left side (which carries the index)</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Best when</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right side is queried often; most lefts have no right counterpart so a null column on the left would be wasted</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left side is queried often; most lefts do have a right counterpart</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External-system mirrors</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Conventional. FK on the mirror keeps the system-of-record side clean.</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Less common.</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Changeable after save</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No (server-side metadata edits required)</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No (server-side metadata edits required)</w:t>
            </w:r>
          </w:p>
        </w:tc>
      </w:tr>
    </w:tbl>
    <w:p>
      <w:pPr>
        <w:pStyle w:val="Normal"/>
        <w:bidi w:val="0"/>
        <w:jc w:val="start"/>
        <w:rPr/>
      </w:pPr>
      <w:r>
        <w:rPr/>
      </w:r>
    </w:p>
    <w:p>
      <w:pPr>
        <w:pStyle w:val="Normal"/>
        <w:bidi w:val="0"/>
        <w:spacing w:before="0" w:after="120"/>
        <w:jc w:val="start"/>
        <w:rPr/>
      </w:pPr>
      <w:r>
        <w:rPr>
          <w:rFonts w:eastAsia="Arial" w:cs="Arial"/>
          <w:b/>
          <w:bCs/>
          <w:sz w:val="22"/>
          <w:szCs w:val="22"/>
        </w:rPr>
        <w:t xml:space="preserve">Query performance. </w:t>
      </w:r>
      <w:r>
        <w:rPr>
          <w:rFonts w:eastAsia="Arial" w:cs="Arial"/>
          <w:sz w:val="22"/>
          <w:szCs w:val="22"/>
        </w:rPr>
        <w:t>Joins from the side that holds the FK are faster than joins from the side that does not, because the FK side carries the index. If one side is queried far more often than the other (in list views, reports, or formulas), put the FK on that side.</w:t>
      </w:r>
    </w:p>
    <w:p>
      <w:pPr>
        <w:pStyle w:val="Normal"/>
        <w:bidi w:val="0"/>
        <w:spacing w:before="0" w:after="120"/>
        <w:jc w:val="start"/>
        <w:rPr/>
      </w:pPr>
      <w:r>
        <w:rPr>
          <w:rFonts w:eastAsia="Arial" w:cs="Arial"/>
          <w:b/>
          <w:bCs/>
          <w:sz w:val="22"/>
          <w:szCs w:val="22"/>
        </w:rPr>
        <w:t xml:space="preserve">Optional vs mandatory shape. </w:t>
      </w:r>
      <w:r>
        <w:rPr>
          <w:rFonts w:eastAsia="Arial" w:cs="Arial"/>
          <w:sz w:val="22"/>
          <w:szCs w:val="22"/>
        </w:rPr>
        <w:t>If most records on one side have no counterpart on the other, putting the FK on the side that is usually present keeps the side that is usually empty free of null columns. Putting the FK on the always-empty side would waste storage.</w:t>
      </w:r>
    </w:p>
    <w:p>
      <w:pPr>
        <w:pStyle w:val="Normal"/>
        <w:bidi w:val="0"/>
        <w:spacing w:before="0" w:after="120"/>
        <w:jc w:val="start"/>
        <w:rPr/>
      </w:pPr>
      <w:r>
        <w:rPr>
          <w:rFonts w:eastAsia="Arial" w:cs="Arial"/>
          <w:b/>
          <w:bCs/>
          <w:sz w:val="22"/>
          <w:szCs w:val="22"/>
        </w:rPr>
        <w:t xml:space="preserve">Data ownership boundaries. </w:t>
      </w:r>
      <w:r>
        <w:rPr>
          <w:rFonts w:eastAsia="Arial" w:cs="Arial"/>
          <w:sz w:val="22"/>
          <w:szCs w:val="22"/>
        </w:rPr>
        <w:t>When the child entity represents data from an external system (an external profile, a payment customer, an identity provider record), the FK conventionally lives on the child. This makes it visible in the data model that the child is “the mirror” and the parent is the system of record on the CRM side.</w:t>
      </w:r>
    </w:p>
    <w:p>
      <w:pPr>
        <w:pStyle w:val="Normal"/>
        <w:bidi w:val="0"/>
        <w:spacing w:before="0" w:after="120"/>
        <w:jc w:val="start"/>
        <w:rPr>
          <w:rFonts w:ascii="Arial" w:hAnsi="Arial" w:eastAsia="Arial" w:cs="Arial"/>
          <w:sz w:val="22"/>
          <w:szCs w:val="22"/>
        </w:rPr>
      </w:pPr>
      <w:r>
        <w:rPr>
          <w:rFonts w:eastAsia="Arial" w:cs="Arial"/>
          <w:sz w:val="22"/>
          <w:szCs w:val="22"/>
        </w:rPr>
        <w:t>When you create a one-to-one relationship through Entity Manager, the dialog presents the two options. There is no UI affordance to switch between them after the relationship is saved — converting Right to Left, or vice versa, requires manual edits to PHP class definitions and JSON metadata on the server. Decide before saving.</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2.9.3 What EspoCRM Creates Under the Hood</w:t>
      </w:r>
    </w:p>
    <w:p>
      <w:pPr>
        <w:pStyle w:val="Normal"/>
        <w:bidi w:val="0"/>
        <w:spacing w:before="0" w:after="120"/>
        <w:jc w:val="start"/>
        <w:rPr>
          <w:rFonts w:ascii="Arial" w:hAnsi="Arial" w:eastAsia="Arial" w:cs="Arial"/>
          <w:sz w:val="22"/>
          <w:szCs w:val="22"/>
        </w:rPr>
      </w:pPr>
      <w:r>
        <w:rPr>
          <w:rFonts w:eastAsia="Arial" w:cs="Arial"/>
          <w:sz w:val="22"/>
          <w:szCs w:val="22"/>
        </w:rPr>
        <w:t>When you save a one-to-one relationship, EspoCRM performs the following actions:</w:t>
      </w:r>
    </w:p>
    <w:p>
      <w:pPr>
        <w:pStyle w:val="ListParagraph"/>
        <w:numPr>
          <w:ilvl w:val="0"/>
          <w:numId w:val="60"/>
        </w:numPr>
        <w:bidi w:val="0"/>
        <w:spacing w:before="0" w:after="80"/>
        <w:jc w:val="start"/>
        <w:rPr>
          <w:rFonts w:ascii="Arial" w:hAnsi="Arial" w:eastAsia="Arial" w:cs="Arial"/>
          <w:sz w:val="22"/>
          <w:szCs w:val="22"/>
        </w:rPr>
      </w:pPr>
      <w:r>
        <w:rPr>
          <w:rFonts w:eastAsia="Arial" w:cs="Arial"/>
          <w:sz w:val="22"/>
          <w:szCs w:val="22"/>
        </w:rPr>
        <w:t>Adds a link field on each side. The side opposite the FK gets a virtual link (resolved via reverse traversal of the FK); the side holding the FK gets a real link backed by the FK column.</w:t>
      </w:r>
    </w:p>
    <w:p>
      <w:pPr>
        <w:pStyle w:val="ListParagraph"/>
        <w:numPr>
          <w:ilvl w:val="0"/>
          <w:numId w:val="61"/>
        </w:numPr>
        <w:bidi w:val="0"/>
        <w:spacing w:before="0" w:after="80"/>
        <w:jc w:val="start"/>
        <w:rPr>
          <w:rFonts w:ascii="Arial" w:hAnsi="Arial" w:eastAsia="Arial" w:cs="Arial"/>
          <w:sz w:val="22"/>
          <w:szCs w:val="22"/>
        </w:rPr>
      </w:pPr>
      <w:r>
        <w:rPr>
          <w:rFonts w:eastAsia="Arial" w:cs="Arial"/>
          <w:sz w:val="22"/>
          <w:szCs w:val="22"/>
        </w:rPr>
        <w:t>Adds the FK column to the underlying database table on the chosen side. The column is named after the link with “Id” appended (e.g., contactId, mailingPlatformProfileId).</w:t>
      </w:r>
    </w:p>
    <w:p>
      <w:pPr>
        <w:pStyle w:val="ListParagraph"/>
        <w:numPr>
          <w:ilvl w:val="0"/>
          <w:numId w:val="62"/>
        </w:numPr>
        <w:bidi w:val="0"/>
        <w:spacing w:before="0" w:after="80"/>
        <w:jc w:val="start"/>
        <w:rPr>
          <w:rFonts w:ascii="Arial" w:hAnsi="Arial" w:eastAsia="Arial" w:cs="Arial"/>
          <w:sz w:val="22"/>
          <w:szCs w:val="22"/>
        </w:rPr>
      </w:pPr>
      <w:r>
        <w:rPr>
          <w:rFonts w:eastAsia="Arial" w:cs="Arial"/>
          <w:sz w:val="22"/>
          <w:szCs w:val="22"/>
        </w:rPr>
        <w:t>Adds a unique index on the FK column. This is the mechanism that enforces one-to-one at the database layer — without the unique index, the relationship would behave as many-to-one.</w:t>
      </w:r>
    </w:p>
    <w:p>
      <w:pPr>
        <w:pStyle w:val="ListParagraph"/>
        <w:numPr>
          <w:ilvl w:val="0"/>
          <w:numId w:val="63"/>
        </w:numPr>
        <w:bidi w:val="0"/>
        <w:spacing w:before="0" w:after="80"/>
        <w:jc w:val="start"/>
        <w:rPr/>
      </w:pPr>
      <w:r>
        <w:rPr>
          <w:rFonts w:eastAsia="Arial" w:cs="Arial"/>
          <w:sz w:val="22"/>
          <w:szCs w:val="22"/>
        </w:rPr>
        <w:t>Registers the link in the entity’s metadata definitions so that the API, list views, the layout manager, and the formula engine can read and write through it.</w:t>
      </w:r>
    </w:p>
    <w:p>
      <w:pPr>
        <w:pStyle w:val="Normal"/>
        <w:bidi w:val="0"/>
        <w:spacing w:before="0" w:after="120"/>
        <w:jc w:val="start"/>
        <w:rPr>
          <w:rFonts w:ascii="Arial" w:hAnsi="Arial" w:eastAsia="Arial" w:cs="Arial"/>
          <w:sz w:val="22"/>
          <w:szCs w:val="22"/>
        </w:rPr>
      </w:pPr>
      <w:r>
        <w:rPr>
          <w:rFonts w:eastAsia="Arial" w:cs="Arial"/>
          <w:sz w:val="22"/>
          <w:szCs w:val="22"/>
        </w:rPr>
        <w:t>The link field appears in the Fields tab of each entity after creation, where it can be added to detail and edit layouts like any other field. The FK column itself does not appear in the Fields tab — it is managed entirely through the link.</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2.9.4 Uniqueness Constraint and Cardinality Enforcement</w:t>
      </w:r>
    </w:p>
    <w:p>
      <w:pPr>
        <w:pStyle w:val="Normal"/>
        <w:bidi w:val="0"/>
        <w:spacing w:before="0" w:after="120"/>
        <w:jc w:val="start"/>
        <w:rPr>
          <w:rFonts w:ascii="Arial" w:hAnsi="Arial" w:eastAsia="Arial" w:cs="Arial"/>
          <w:sz w:val="22"/>
          <w:szCs w:val="22"/>
        </w:rPr>
      </w:pPr>
      <w:r>
        <w:rPr>
          <w:rFonts w:eastAsia="Arial" w:cs="Arial"/>
          <w:sz w:val="22"/>
          <w:szCs w:val="22"/>
        </w:rPr>
        <w:t>The unique index on the FK column means that any attempt to link a target record that is already linked to another host record will be rejected at the database layer. This applies whether the link is set through the UI, the API, the formula engine, or a workflow rule. The constraint is what distinguishes one-to-one from many-to-one structurally.</w:t>
      </w:r>
    </w:p>
    <w:p>
      <w:pPr>
        <w:pStyle w:val="Normal"/>
        <w:bidi w:val="0"/>
        <w:spacing w:before="0" w:after="120"/>
        <w:jc w:val="start"/>
        <w:rPr>
          <w:rFonts w:ascii="Arial" w:hAnsi="Arial" w:eastAsia="Arial" w:cs="Arial"/>
          <w:sz w:val="22"/>
          <w:szCs w:val="22"/>
        </w:rPr>
      </w:pPr>
      <w:r>
        <w:rPr>
          <w:rFonts w:eastAsia="Arial" w:cs="Arial"/>
          <w:sz w:val="22"/>
          <w:szCs w:val="22"/>
        </w:rPr>
        <w:t>The practical consequence is that to re-link a target to a different host, you must first unlink it from its current host, then link it to the new host. There is no atomic swap. The order matters: if you try to link the target to a new host before unlinking the old one, the operation fails with a unique-constraint violation and the original link remains in place.</w:t>
      </w:r>
    </w:p>
    <w:p>
      <w:pPr>
        <w:pStyle w:val="Normal"/>
        <w:bidi w:val="0"/>
        <w:spacing w:before="0" w:after="120"/>
        <w:jc w:val="start"/>
        <w:rPr>
          <w:rFonts w:ascii="Arial" w:hAnsi="Arial" w:eastAsia="Arial" w:cs="Arial"/>
          <w:sz w:val="22"/>
          <w:szCs w:val="22"/>
        </w:rPr>
      </w:pPr>
      <w:r>
        <w:rPr>
          <w:rFonts w:eastAsia="Arial" w:cs="Arial"/>
          <w:sz w:val="22"/>
          <w:szCs w:val="22"/>
        </w:rPr>
        <w:t>This is the correct behavior for one-to-one, but it does surprise users who expect “link” to be a single-step operation. If your operational workflow involves frequently re-pointing the same target to different hosts, that is a strong signal that many-to-one is the correct model, not one-to-one.</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2.9.5 Step-by-Step: Creating a One-to-One Relationship</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1 — Open Entity Manager</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Relationships — Add Relationship.</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2 — Select Relationship Type</w:t>
      </w:r>
    </w:p>
    <w:p>
      <w:pPr>
        <w:pStyle w:val="Normal"/>
        <w:bidi w:val="0"/>
        <w:spacing w:before="0" w:after="120"/>
        <w:jc w:val="start"/>
        <w:rPr>
          <w:rFonts w:ascii="Arial" w:hAnsi="Arial" w:eastAsia="Arial" w:cs="Arial"/>
          <w:sz w:val="22"/>
          <w:szCs w:val="22"/>
        </w:rPr>
      </w:pPr>
      <w:r>
        <w:rPr>
          <w:rFonts w:eastAsia="Arial" w:cs="Arial"/>
          <w:sz w:val="22"/>
          <w:szCs w:val="22"/>
        </w:rPr>
        <w:t>In the Type dropdown, select either One-to-One Right or One-to-One Left. Refer to Section 2.9.2 for guidance on choosing. The decision cannot be reversed through the UI after saving, so make it deliberately.</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3 — Configure Both Sides</w:t>
      </w:r>
    </w:p>
    <w:p>
      <w:pPr>
        <w:pStyle w:val="Normal"/>
        <w:bidi w:val="0"/>
        <w:spacing w:before="0" w:after="120"/>
        <w:jc w:val="start"/>
        <w:rPr>
          <w:rFonts w:ascii="Arial" w:hAnsi="Arial" w:eastAsia="Arial" w:cs="Arial"/>
          <w:sz w:val="22"/>
          <w:szCs w:val="22"/>
        </w:rPr>
      </w:pPr>
      <w:r>
        <w:rPr>
          <w:rFonts w:eastAsia="Arial" w:cs="Arial"/>
          <w:sz w:val="22"/>
          <w:szCs w:val="22"/>
        </w:rPr>
        <w:t>Configure each side’s Name and Label fields. As with all relationships in EspoCRM, both sides are configured in the same dialog — see Section 2.4 for the bi-directional behavior these fields produce on the foreign entity.</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EspoCRM creates the link field on each side, adds the FK column with its unique index to the underlying database table, and registers the relationship in the entity metadata. Both link fields are now available to be added to layouts via the Fields tab and the Detail/Edit layout editors.</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5 — Add the Link Fields to Layouts</w:t>
      </w:r>
    </w:p>
    <w:p>
      <w:pPr>
        <w:pStyle w:val="Normal"/>
        <w:bidi w:val="0"/>
        <w:spacing w:before="0" w:after="120"/>
        <w:jc w:val="start"/>
        <w:rPr/>
      </w:pPr>
      <w:r>
        <w:rPr>
          <w:rFonts w:eastAsia="Arial" w:cs="Arial"/>
          <w:sz w:val="22"/>
          <w:szCs w:val="22"/>
        </w:rPr>
        <w:t>By default, neither link field appears in the detail or edit view of either entity even after the relationship is saved. To make the link visible and editable in the UI, add the appropriate link field to each entity’s Detail View and Edit View layouts (Admin — Entity Manager — [Entity] — Layouts — Detail / Edit). To show the linked record as its own panel rather than a single inline field, follow Section 3 (Adding a Related Panel to an Entity Detail View) for either side.</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2.9.6 Example: Mailing Platform Profile on Contact</w:t>
      </w:r>
    </w:p>
    <w:p>
      <w:pPr>
        <w:pStyle w:val="Normal"/>
        <w:bidi w:val="0"/>
        <w:spacing w:before="0" w:after="120"/>
        <w:jc w:val="start"/>
        <w:rPr>
          <w:rFonts w:ascii="Arial" w:hAnsi="Arial" w:eastAsia="Arial" w:cs="Arial"/>
          <w:sz w:val="22"/>
          <w:szCs w:val="22"/>
        </w:rPr>
      </w:pPr>
      <w:r>
        <w:rPr>
          <w:rFonts w:eastAsia="Arial" w:cs="Arial"/>
          <w:sz w:val="22"/>
          <w:szCs w:val="22"/>
        </w:rPr>
        <w:t>Consider this scenario: CBM integrates with an external email marketing platform. Each Contact who has subscribed to CBM’s email communications has exactly one profile record in the external platform; Contacts who have never subscribed have no profile at all. The profile holds platform-side state — the external system’s contact identifier, the current subscription status, the timestamp of the last sync, and the set of email lists the Contact belongs to.</w:t>
      </w:r>
    </w:p>
    <w:p>
      <w:pPr>
        <w:pStyle w:val="Normal"/>
        <w:bidi w:val="0"/>
        <w:spacing w:before="0" w:after="120"/>
        <w:jc w:val="start"/>
        <w:rPr>
          <w:rFonts w:ascii="Arial" w:hAnsi="Arial" w:eastAsia="Arial" w:cs="Arial"/>
          <w:sz w:val="22"/>
          <w:szCs w:val="22"/>
        </w:rPr>
      </w:pPr>
      <w:r>
        <w:rPr>
          <w:rFonts w:eastAsia="Arial" w:cs="Arial"/>
          <w:sz w:val="22"/>
          <w:szCs w:val="22"/>
        </w:rPr>
        <w:t>This is a candidate for one-to-one because:</w:t>
      </w:r>
    </w:p>
    <w:p>
      <w:pPr>
        <w:pStyle w:val="ListParagraph"/>
        <w:numPr>
          <w:ilvl w:val="0"/>
          <w:numId w:val="64"/>
        </w:numPr>
        <w:bidi w:val="0"/>
        <w:spacing w:before="0" w:after="80"/>
        <w:jc w:val="start"/>
        <w:rPr>
          <w:rFonts w:ascii="Arial" w:hAnsi="Arial" w:eastAsia="Arial" w:cs="Arial"/>
          <w:sz w:val="22"/>
          <w:szCs w:val="22"/>
        </w:rPr>
      </w:pPr>
      <w:r>
        <w:rPr>
          <w:rFonts w:eastAsia="Arial" w:cs="Arial"/>
          <w:sz w:val="22"/>
          <w:szCs w:val="22"/>
        </w:rPr>
        <w:t>The profile data has its own lifecycle (created on first subscribe, removed on hard unsubscribe, possibly re-created later).</w:t>
      </w:r>
    </w:p>
    <w:p>
      <w:pPr>
        <w:pStyle w:val="ListParagraph"/>
        <w:numPr>
          <w:ilvl w:val="0"/>
          <w:numId w:val="65"/>
        </w:numPr>
        <w:bidi w:val="0"/>
        <w:spacing w:before="0" w:after="80"/>
        <w:jc w:val="start"/>
        <w:rPr>
          <w:rFonts w:ascii="Arial" w:hAnsi="Arial" w:eastAsia="Arial" w:cs="Arial"/>
          <w:sz w:val="22"/>
          <w:szCs w:val="22"/>
        </w:rPr>
      </w:pPr>
      <w:r>
        <w:rPr>
          <w:rFonts w:eastAsia="Arial" w:cs="Arial"/>
          <w:sz w:val="22"/>
          <w:szCs w:val="22"/>
        </w:rPr>
        <w:t>Most Contacts will have no profile, so the relationship is optional on the Contact side.</w:t>
      </w:r>
    </w:p>
    <w:p>
      <w:pPr>
        <w:pStyle w:val="ListParagraph"/>
        <w:numPr>
          <w:ilvl w:val="0"/>
          <w:numId w:val="66"/>
        </w:numPr>
        <w:bidi w:val="0"/>
        <w:spacing w:before="0" w:after="80"/>
        <w:jc w:val="start"/>
        <w:rPr>
          <w:rFonts w:ascii="Arial" w:hAnsi="Arial" w:eastAsia="Arial" w:cs="Arial"/>
          <w:sz w:val="22"/>
          <w:szCs w:val="22"/>
        </w:rPr>
      </w:pPr>
      <w:r>
        <w:rPr>
          <w:rFonts w:eastAsia="Arial" w:cs="Arial"/>
          <w:sz w:val="22"/>
          <w:szCs w:val="22"/>
        </w:rPr>
        <w:t>The profile represents data owned by an external system, not by CBM.</w:t>
      </w:r>
    </w:p>
    <w:p>
      <w:pPr>
        <w:pStyle w:val="ListParagraph"/>
        <w:numPr>
          <w:ilvl w:val="0"/>
          <w:numId w:val="67"/>
        </w:numPr>
        <w:bidi w:val="0"/>
        <w:spacing w:before="0" w:after="80"/>
        <w:jc w:val="start"/>
        <w:rPr>
          <w:rFonts w:ascii="Arial" w:hAnsi="Arial" w:eastAsia="Arial" w:cs="Arial"/>
          <w:sz w:val="22"/>
          <w:szCs w:val="22"/>
        </w:rPr>
      </w:pPr>
      <w:r>
        <w:rPr>
          <w:rFonts w:eastAsia="Arial" w:cs="Arial"/>
          <w:sz w:val="22"/>
          <w:szCs w:val="22"/>
        </w:rPr>
        <w:t>If CBM ever switches email platforms, the profile entity can be swapped out without changing the Contact entity itself.</w:t>
      </w:r>
    </w:p>
    <w:p>
      <w:pPr>
        <w:pStyle w:val="Normal"/>
        <w:bidi w:val="0"/>
        <w:spacing w:before="0" w:after="120"/>
        <w:jc w:val="start"/>
        <w:rPr>
          <w:rFonts w:ascii="Arial" w:hAnsi="Arial" w:eastAsia="Arial" w:cs="Arial"/>
          <w:sz w:val="22"/>
          <w:szCs w:val="22"/>
        </w:rPr>
      </w:pPr>
      <w:r>
        <w:rPr>
          <w:rFonts w:eastAsia="Arial" w:cs="Arial"/>
          <w:sz w:val="22"/>
          <w:szCs w:val="22"/>
        </w:rPr>
        <w:t>The alternative — adding mailingPlatformContactId, mailingPlatformSubscriptionStatus, mailingPlatformLastSyncedAt, and a multi-enum mailingPlatformLists directly to Contact — also works, and is simpler. Reasonable people would choose either way. This example chooses one-to-one to illustrate the pattern; in a real implementation the platform-swappability and independent-lifecycle arguments would need to be weighed against the simplicity of fields-on-Contact.</w:t>
      </w:r>
    </w:p>
    <w:p>
      <w:pPr>
        <w:pStyle w:val="Normal"/>
        <w:bidi w:val="0"/>
        <w:spacing w:before="0" w:after="120"/>
        <w:jc w:val="start"/>
        <w:rPr>
          <w:rFonts w:ascii="Arial" w:hAnsi="Arial" w:eastAsia="Arial" w:cs="Arial"/>
          <w:b/>
          <w:bCs/>
          <w:sz w:val="22"/>
          <w:szCs w:val="22"/>
        </w:rPr>
      </w:pPr>
      <w:r>
        <w:rPr>
          <w:rFonts w:eastAsia="Arial" w:cs="Arial"/>
          <w:b/>
          <w:bCs/>
          <w:sz w:val="22"/>
          <w:szCs w:val="22"/>
        </w:rPr>
        <w:t>Configuration:</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880"/>
        <w:gridCol w:w="3118"/>
        <w:gridCol w:w="3362"/>
      </w:tblGrid>
      <w:tr>
        <w:trPr/>
        <w:tc>
          <w:tcPr>
            <w:tcW w:w="28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118"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c>
          <w:tcPr>
            <w:tcW w:w="3362"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Notes</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Type</w:t>
            </w:r>
          </w:p>
        </w:tc>
        <w:tc>
          <w:tcPr>
            <w:tcW w:w="3118"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One-to-One Right</w:t>
            </w:r>
          </w:p>
        </w:tc>
        <w:tc>
          <w:tcPr>
            <w:tcW w:w="3362"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FK lives on MailingPlatformProfile (the external-system mirror); Contact has no FK column.</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Entity (host)</w:t>
            </w:r>
          </w:p>
        </w:tc>
        <w:tc>
          <w:tcPr>
            <w:tcW w:w="3118"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Contact</w:t>
            </w:r>
          </w:p>
        </w:tc>
        <w:tc>
          <w:tcPr>
            <w:tcW w:w="3362"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CRM-owned record. Reaches the profile via the link.</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Entity (foreign)</w:t>
            </w:r>
          </w:p>
        </w:tc>
        <w:tc>
          <w:tcPr>
            <w:tcW w:w="3118"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MailingPlatformProfile</w:t>
            </w:r>
          </w:p>
        </w:tc>
        <w:tc>
          <w:tcPr>
            <w:tcW w:w="3362"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external-system mirror. Holds the FK column contactId.</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Name</w:t>
            </w:r>
          </w:p>
        </w:tc>
        <w:tc>
          <w:tcPr>
            <w:tcW w:w="3118"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mailingPlatformProfile</w:t>
            </w:r>
          </w:p>
        </w:tc>
        <w:tc>
          <w:tcPr>
            <w:tcW w:w="3362"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Singular. The link field that appears on Contact.</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Label</w:t>
            </w:r>
          </w:p>
        </w:tc>
        <w:tc>
          <w:tcPr>
            <w:tcW w:w="3118"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Mailing Platform Profile</w:t>
            </w:r>
          </w:p>
        </w:tc>
        <w:tc>
          <w:tcPr>
            <w:tcW w:w="3362"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Display label of the link field on Contact.</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Name</w:t>
            </w:r>
          </w:p>
        </w:tc>
        <w:tc>
          <w:tcPr>
            <w:tcW w:w="3118"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contact</w:t>
            </w:r>
          </w:p>
        </w:tc>
        <w:tc>
          <w:tcPr>
            <w:tcW w:w="3362"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Singular. The link field that appears on MailingPlatformProfile.</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Label</w:t>
            </w:r>
          </w:p>
        </w:tc>
        <w:tc>
          <w:tcPr>
            <w:tcW w:w="3118"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Contact</w:t>
            </w:r>
          </w:p>
        </w:tc>
        <w:tc>
          <w:tcPr>
            <w:tcW w:w="3362"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Display label of the link field on MailingPlatformProfile.</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Audited</w:t>
            </w:r>
          </w:p>
        </w:tc>
        <w:tc>
          <w:tcPr>
            <w:tcW w:w="3118"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Yes (both sides)</w:t>
            </w:r>
          </w:p>
        </w:tc>
        <w:tc>
          <w:tcPr>
            <w:tcW w:w="3362" w:type="dxa"/>
            <w:tcBorders>
              <w:top w:val="single" w:sz="2" w:space="0" w:color="AAAAAA"/>
              <w:start w:val="single" w:sz="2" w:space="0" w:color="AAAAAA"/>
              <w:bottom w:val="single" w:sz="2" w:space="0" w:color="AAAAAA"/>
              <w:end w:val="single" w:sz="2" w:space="0" w:color="AAAAAA"/>
            </w:tcBorders>
          </w:tcPr>
          <w:p>
            <w:pPr>
              <w:pStyle w:val="Normal"/>
              <w:bidi w:val="0"/>
              <w:jc w:val="start"/>
              <w:rPr/>
            </w:pPr>
            <w:r>
              <w:rPr>
                <w:rFonts w:eastAsia="Arial" w:cs="Arial"/>
                <w:sz w:val="20"/>
                <w:szCs w:val="20"/>
              </w:rPr>
              <w:t>Logs link and unlink events to the activity stream of both entities.</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After saving, EspoCRM creates the mailingPlatformProfile link on Contact and the contact link on MailingPlatformProfile, adds a contactId column with a unique index to the mailing_platform_profile table, and registers both link fields in entity metadata. Either link field can then be added to its entity’s Detail View and Edit View layouts to make the link visible in the UI.</w:t>
      </w:r>
    </w:p>
    <w:p>
      <w:pPr>
        <w:pStyle w:val="Normal"/>
        <w:bidi w:val="0"/>
        <w:spacing w:before="0" w:after="120"/>
        <w:jc w:val="start"/>
        <w:rPr/>
      </w:pPr>
      <w:r>
        <w:rPr>
          <w:rFonts w:eastAsia="Arial" w:cs="Arial"/>
          <w:b/>
          <w:bCs/>
          <w:sz w:val="22"/>
          <w:szCs w:val="22"/>
        </w:rPr>
        <w:t xml:space="preserve">In use. </w:t>
      </w:r>
      <w:r>
        <w:rPr>
          <w:rFonts w:eastAsia="Arial" w:cs="Arial"/>
          <w:sz w:val="22"/>
          <w:szCs w:val="22"/>
        </w:rPr>
        <w:t>A staff user opening a Contact detail page sees the linked MailingPlatformProfile through the link field on Contact (or through a related panel on the Contact detail view, configured per Section 3). A staff user opening a MailingPlatformProfile detail page sees the linked Contact through the link field on MailingPlatformProfile. Attempting to link a MailingPlatformProfile that is already linked to a different Contact will fail with a unique-constraint violation; the existing link must be removed first.</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2.9.7 Foreign Fields Across a One-to-One Link</w:t>
      </w:r>
    </w:p>
    <w:p>
      <w:pPr>
        <w:pStyle w:val="Normal"/>
        <w:bidi w:val="0"/>
        <w:spacing w:before="0" w:after="120"/>
        <w:jc w:val="start"/>
        <w:rPr>
          <w:rFonts w:ascii="Arial" w:hAnsi="Arial" w:eastAsia="Arial" w:cs="Arial"/>
          <w:sz w:val="22"/>
          <w:szCs w:val="22"/>
        </w:rPr>
      </w:pPr>
      <w:r>
        <w:rPr>
          <w:rFonts w:eastAsia="Arial" w:cs="Arial"/>
          <w:sz w:val="22"/>
          <w:szCs w:val="22"/>
        </w:rPr>
        <w:t>Foreign fields (Section 2.8) work the same way across a one-to-one link as they do across a many-to-one link. From either side of the link, you can reach across to the linked entity and pull a field through as a read-only mirror on the host entity.</w:t>
      </w:r>
    </w:p>
    <w:p>
      <w:pPr>
        <w:pStyle w:val="Normal"/>
        <w:bidi w:val="0"/>
        <w:spacing w:before="0" w:after="120"/>
        <w:jc w:val="start"/>
        <w:rPr>
          <w:rFonts w:ascii="Arial" w:hAnsi="Arial" w:eastAsia="Arial" w:cs="Arial"/>
          <w:sz w:val="22"/>
          <w:szCs w:val="22"/>
        </w:rPr>
      </w:pPr>
      <w:r>
        <w:rPr>
          <w:rFonts w:eastAsia="Arial" w:cs="Arial"/>
          <w:sz w:val="22"/>
          <w:szCs w:val="22"/>
        </w:rPr>
        <w:t>For the example above, useful Foreign fields might include:</w:t>
      </w:r>
    </w:p>
    <w:p>
      <w:pPr>
        <w:pStyle w:val="ListParagraph"/>
        <w:numPr>
          <w:ilvl w:val="0"/>
          <w:numId w:val="68"/>
        </w:numPr>
        <w:bidi w:val="0"/>
        <w:spacing w:before="0" w:after="80"/>
        <w:jc w:val="start"/>
        <w:rPr>
          <w:rFonts w:ascii="Arial" w:hAnsi="Arial" w:eastAsia="Arial" w:cs="Arial"/>
          <w:sz w:val="22"/>
          <w:szCs w:val="22"/>
        </w:rPr>
      </w:pPr>
      <w:r>
        <w:rPr>
          <w:rFonts w:eastAsia="Arial" w:cs="Arial"/>
          <w:sz w:val="22"/>
          <w:szCs w:val="22"/>
        </w:rPr>
        <w:t>On Contact: mailingPlatformSubscriptionStatus, read-through from the linked MailingPlatformProfile. This allows list views and filters on Contact to show subscription status directly without joining to the profile entity in a report.</w:t>
      </w:r>
    </w:p>
    <w:p>
      <w:pPr>
        <w:pStyle w:val="ListParagraph"/>
        <w:numPr>
          <w:ilvl w:val="0"/>
          <w:numId w:val="69"/>
        </w:numPr>
        <w:bidi w:val="0"/>
        <w:spacing w:before="0" w:after="80"/>
        <w:jc w:val="start"/>
        <w:rPr>
          <w:rFonts w:ascii="Arial" w:hAnsi="Arial" w:eastAsia="Arial" w:cs="Arial"/>
          <w:sz w:val="22"/>
          <w:szCs w:val="22"/>
        </w:rPr>
      </w:pPr>
      <w:r>
        <w:rPr>
          <w:rFonts w:eastAsia="Arial" w:cs="Arial"/>
          <w:sz w:val="22"/>
          <w:szCs w:val="22"/>
        </w:rPr>
        <w:t>On MailingPlatformProfile: contactEmailAddress, read-through from the linked Contact. This allows list views of profile records to show the corresponding email address without joining to Contact.</w:t>
      </w:r>
    </w:p>
    <w:p>
      <w:pPr>
        <w:pStyle w:val="Normal"/>
        <w:bidi w:val="0"/>
        <w:spacing w:before="0" w:after="120"/>
        <w:jc w:val="start"/>
        <w:rPr>
          <w:rFonts w:ascii="Arial" w:hAnsi="Arial" w:eastAsia="Arial" w:cs="Arial"/>
          <w:sz w:val="22"/>
          <w:szCs w:val="22"/>
        </w:rPr>
      </w:pPr>
      <w:r>
        <w:rPr>
          <w:rFonts w:eastAsia="Arial" w:cs="Arial"/>
          <w:sz w:val="22"/>
          <w:szCs w:val="22"/>
        </w:rPr>
        <w:t>Unlike many-to-many relationships — where Foreign fields can return undefined values when the host is linked to multiple targets — one-to-one Foreign fields are always well-defined, because the linked target is always either exactly one record or none.</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2.9.8 Common Pitfalls and When NOT to Use One-to-One</w:t>
      </w:r>
    </w:p>
    <w:p>
      <w:pPr>
        <w:pStyle w:val="Normal"/>
        <w:bidi w:val="0"/>
        <w:spacing w:before="0" w:after="120"/>
        <w:jc w:val="start"/>
        <w:rPr/>
      </w:pPr>
      <w:r>
        <w:rPr>
          <w:rFonts w:eastAsia="Arial" w:cs="Arial"/>
          <w:b/>
          <w:bCs/>
          <w:sz w:val="22"/>
          <w:szCs w:val="22"/>
        </w:rPr>
        <w:t xml:space="preserve">Re-pointing is two-step, not atomic. </w:t>
      </w:r>
      <w:r>
        <w:rPr>
          <w:rFonts w:eastAsia="Arial" w:cs="Arial"/>
          <w:sz w:val="22"/>
          <w:szCs w:val="22"/>
        </w:rPr>
        <w:t>The unique constraint means moving a target from one host to another requires unlinking first, then linking. Workflows or formulas that “swap” the target between hosts must perform both steps in sequence. If frequent re-pointing is required by the operational workflow, many-to-one is the better fit.</w:t>
      </w:r>
    </w:p>
    <w:p>
      <w:pPr>
        <w:pStyle w:val="Normal"/>
        <w:bidi w:val="0"/>
        <w:spacing w:before="0" w:after="120"/>
        <w:jc w:val="start"/>
        <w:rPr/>
      </w:pPr>
      <w:r>
        <w:rPr>
          <w:rFonts w:eastAsia="Arial" w:cs="Arial"/>
          <w:b/>
          <w:bCs/>
          <w:sz w:val="22"/>
          <w:szCs w:val="22"/>
        </w:rPr>
        <w:t xml:space="preserve">Right vs Left cannot be changed through the UI. </w:t>
      </w:r>
      <w:r>
        <w:rPr>
          <w:rFonts w:eastAsia="Arial" w:cs="Arial"/>
          <w:sz w:val="22"/>
          <w:szCs w:val="22"/>
        </w:rPr>
        <w:t>Once saved, switching the FK side requires server-side metadata edits to PHP class definitions and JSON files. Decide deliberately before saving — see Section 2.9.2.</w:t>
      </w:r>
    </w:p>
    <w:p>
      <w:pPr>
        <w:pStyle w:val="Normal"/>
        <w:bidi w:val="0"/>
        <w:spacing w:before="0" w:after="120"/>
        <w:jc w:val="start"/>
        <w:rPr/>
      </w:pPr>
      <w:r>
        <w:rPr>
          <w:rFonts w:eastAsia="Arial" w:cs="Arial"/>
          <w:b/>
          <w:bCs/>
          <w:sz w:val="22"/>
          <w:szCs w:val="22"/>
        </w:rPr>
        <w:t xml:space="preserve">Optional vs mandatory on each side is configured separately. </w:t>
      </w:r>
      <w:r>
        <w:rPr>
          <w:rFonts w:eastAsia="Arial" w:cs="Arial"/>
          <w:sz w:val="22"/>
          <w:szCs w:val="22"/>
        </w:rPr>
        <w:t>A one-to-one link can be optional on both sides (the most common case), mandatory on one side, or mandatory on both. Making the link mandatory on both sides creates a “no orphans” rule that is difficult to satisfy at record-creation time, because the second-created record cannot save without the first existing first, and the first cannot save without a link to a record that does not yet exist. Mandatory-on-both is rare and usually wrong.</w:t>
      </w:r>
    </w:p>
    <w:p>
      <w:pPr>
        <w:pStyle w:val="Normal"/>
        <w:bidi w:val="0"/>
        <w:spacing w:before="0" w:after="120"/>
        <w:jc w:val="start"/>
        <w:rPr/>
      </w:pPr>
      <w:r>
        <w:rPr>
          <w:rFonts w:eastAsia="Arial" w:cs="Arial"/>
          <w:b/>
          <w:bCs/>
          <w:sz w:val="22"/>
          <w:szCs w:val="22"/>
        </w:rPr>
        <w:t xml:space="preserve">Reconsider before reaching for one-to-one. </w:t>
      </w:r>
      <w:r>
        <w:rPr>
          <w:rFonts w:eastAsia="Arial" w:cs="Arial"/>
          <w:sz w:val="22"/>
          <w:szCs w:val="22"/>
        </w:rPr>
        <w:t>Most apparent one-to-one cases are better modeled as fields on the parent entity (when the data is small and shares the parent’s lifecycle) or as a shared entity with a discriminator field (when several entity concepts overlap in most of their fields, as Contact does for Mentor, Client, Donor, and so on in CBM — see the Entity Inventory). One-to-one is the right answer when the child has an independent lifecycle, optional cardinality, external-system ownership, or independent access control. If none of those apply, the simpler design is almost always better.</w:t>
      </w:r>
    </w:p>
    <w:p>
      <w:pPr>
        <w:pStyle w:val="Normal"/>
        <w:bidi w:val="0"/>
        <w:spacing w:before="0" w:after="120"/>
        <w:jc w:val="start"/>
        <w:rPr>
          <w:rFonts w:ascii="Arial" w:hAnsi="Arial" w:eastAsia="Arial" w:cs="Arial"/>
          <w:sz w:val="22"/>
          <w:szCs w:val="22"/>
        </w:rPr>
      </w:pPr>
      <w:r>
        <w:rPr>
          <w:rFonts w:eastAsia="Arial" w:cs="Arial"/>
          <w:sz w:val="22"/>
          <w:szCs w:val="22"/>
        </w:rPr>
      </w:r>
    </w:p>
    <w:p>
      <w:pPr>
        <w:pStyle w:val="Heading3"/>
        <w:bidi w:val="0"/>
        <w:spacing w:before="0" w:after="120"/>
        <w:ind w:hanging="0" w:start="0"/>
        <w:jc w:val="start"/>
        <w:rPr/>
      </w:pPr>
      <w:r>
        <w:rPr>
          <w:rFonts w:eastAsia="Arial" w:cs="Arial" w:ascii="Arial" w:hAnsi="Arial"/>
          <w:b/>
          <w:bCs/>
          <w:color w:val="595959"/>
          <w:sz w:val="24"/>
          <w:szCs w:val="24"/>
        </w:rPr>
        <w:t xml:space="preserve">2.9.9 The rule for deciding one-to-OneR vs One-to-OneL </w:t>
      </w:r>
    </w:p>
    <w:p>
      <w:pPr>
        <w:pStyle w:val="BodyText"/>
        <w:bidi w:val="0"/>
        <w:spacing w:lineRule="auto" w:line="276" w:before="0" w:after="140"/>
        <w:jc w:val="start"/>
        <w:rPr/>
      </w:pPr>
      <w:r>
        <w:rPr>
          <w:rStyle w:val="Strong"/>
        </w:rPr>
        <w:t>Step 1: Decide which physical entity should hold the FK</w:t>
      </w:r>
      <w:r>
        <w:rPr/>
        <w:t xml:space="preserve"> (apply the conventions: optional side, or external-mirror side).</w:t>
      </w:r>
    </w:p>
    <w:p>
      <w:pPr>
        <w:pStyle w:val="BodyText"/>
        <w:bidi w:val="0"/>
        <w:spacing w:lineRule="auto" w:line="276" w:before="0" w:after="140"/>
        <w:jc w:val="start"/>
        <w:rPr/>
      </w:pPr>
      <w:r>
        <w:rPr>
          <w:rStyle w:val="Strong"/>
        </w:rPr>
        <w:t>Step 2: Pick Left or Right based on where you're configuring from:</w:t>
      </w:r>
    </w:p>
    <w:p>
      <w:pPr>
        <w:pStyle w:val="BodyText"/>
        <w:numPr>
          <w:ilvl w:val="0"/>
          <w:numId w:val="4"/>
        </w:numPr>
        <w:tabs>
          <w:tab w:val="clear" w:pos="720"/>
          <w:tab w:val="left" w:pos="0" w:leader="none"/>
        </w:tabs>
        <w:bidi w:val="0"/>
        <w:spacing w:before="0" w:after="0"/>
        <w:ind w:hanging="283" w:start="709"/>
        <w:jc w:val="start"/>
        <w:rPr/>
      </w:pPr>
      <w:r>
        <w:rPr/>
        <w:t xml:space="preserve">If you're in the Entity Manager of the entity that </w:t>
      </w:r>
      <w:r>
        <w:rPr>
          <w:rStyle w:val="Emphasis"/>
        </w:rPr>
        <w:t>should</w:t>
      </w:r>
      <w:r>
        <w:rPr/>
        <w:t xml:space="preserve"> hold the FK → choose </w:t>
      </w:r>
      <w:r>
        <w:rPr>
          <w:rStyle w:val="Strong"/>
        </w:rPr>
        <w:t>One-to-One Left</w:t>
      </w:r>
      <w:r>
        <w:rPr/>
        <w:t xml:space="preserve"> </w:t>
      </w:r>
    </w:p>
    <w:p>
      <w:pPr>
        <w:pStyle w:val="BodyText"/>
        <w:numPr>
          <w:ilvl w:val="0"/>
          <w:numId w:val="4"/>
        </w:numPr>
        <w:tabs>
          <w:tab w:val="clear" w:pos="720"/>
          <w:tab w:val="left" w:pos="0" w:leader="none"/>
        </w:tabs>
        <w:bidi w:val="0"/>
        <w:ind w:hanging="283" w:start="709"/>
        <w:jc w:val="start"/>
        <w:rPr/>
      </w:pPr>
      <w:r>
        <w:rPr/>
        <w:t xml:space="preserve">If you're in the Entity Manager of the entity that should </w:t>
      </w:r>
      <w:r>
        <w:rPr>
          <w:rStyle w:val="Emphasis"/>
        </w:rPr>
        <w:t>not</w:t>
      </w:r>
      <w:r>
        <w:rPr/>
        <w:t xml:space="preserve"> hold the FK → choose </w:t>
      </w:r>
      <w:r>
        <w:rPr>
          <w:rStyle w:val="Strong"/>
        </w:rPr>
        <w:t>One-to-One Right</w:t>
      </w:r>
      <w:r>
        <w:rPr/>
        <w:t xml:space="preserve"> </w:t>
      </w:r>
    </w:p>
    <w:p>
      <w:pPr>
        <w:pStyle w:val="BodyText"/>
        <w:bidi w:val="0"/>
        <w:spacing w:lineRule="auto" w:line="276" w:before="0" w:after="140"/>
        <w:jc w:val="start"/>
        <w:rPr/>
      </w:pPr>
      <w:r>
        <w:rPr/>
        <w:t>Result is identical either way. Right and Left aren't different relationship types — they're the same relationship described from different starting points.</w:t>
      </w:r>
    </w:p>
    <w:p>
      <w:pPr>
        <w:pStyle w:val="Heading3"/>
        <w:numPr>
          <w:ilvl w:val="0"/>
          <w:numId w:val="0"/>
        </w:numPr>
        <w:bidi w:val="0"/>
        <w:spacing w:before="180" w:after="80"/>
        <w:ind w:hanging="0" w:start="0"/>
        <w:jc w:val="start"/>
        <w:rPr/>
      </w:pPr>
      <w:r>
        <w:rPr/>
        <w:t>The 90% case</w:t>
      </w:r>
    </w:p>
    <w:p>
      <w:pPr>
        <w:pStyle w:val="BodyText"/>
        <w:bidi w:val="0"/>
        <w:spacing w:lineRule="auto" w:line="276" w:before="0" w:after="140"/>
        <w:jc w:val="start"/>
        <w:rPr/>
      </w:pPr>
      <w:r>
        <w:rPr/>
        <w:t xml:space="preserve">You're almost always going to be adding a 1:1 from an established entity (Contact, Account, Engagement) to a new/optional/external child entity (a profile, a mirror record, an integration log). The natural workflow is to open the </w:t>
      </w:r>
      <w:r>
        <w:rPr>
          <w:rStyle w:val="Strong"/>
        </w:rPr>
        <w:t>established entity's</w:t>
      </w:r>
      <w:r>
        <w:rPr/>
        <w:t xml:space="preserve"> Entity Manager and add the relationship from there.</w:t>
      </w:r>
    </w:p>
    <w:p>
      <w:pPr>
        <w:pStyle w:val="BodyText"/>
        <w:bidi w:val="0"/>
        <w:spacing w:lineRule="auto" w:line="276" w:before="0" w:after="140"/>
        <w:jc w:val="start"/>
        <w:rPr/>
      </w:pPr>
      <w:r>
        <w:rPr/>
        <w:t>In that scenario:</w:t>
      </w:r>
    </w:p>
    <w:p>
      <w:pPr>
        <w:pStyle w:val="BodyText"/>
        <w:numPr>
          <w:ilvl w:val="0"/>
          <w:numId w:val="5"/>
        </w:numPr>
        <w:tabs>
          <w:tab w:val="clear" w:pos="720"/>
          <w:tab w:val="left" w:pos="0" w:leader="none"/>
        </w:tabs>
        <w:bidi w:val="0"/>
        <w:spacing w:before="0" w:after="0"/>
        <w:ind w:hanging="283" w:start="709"/>
        <w:jc w:val="start"/>
        <w:rPr/>
      </w:pPr>
      <w:r>
        <w:rPr/>
        <w:t xml:space="preserve">Your established entity is on the Left (it's the one whose EM you're in) </w:t>
      </w:r>
    </w:p>
    <w:p>
      <w:pPr>
        <w:pStyle w:val="BodyText"/>
        <w:numPr>
          <w:ilvl w:val="0"/>
          <w:numId w:val="5"/>
        </w:numPr>
        <w:tabs>
          <w:tab w:val="clear" w:pos="720"/>
          <w:tab w:val="left" w:pos="0" w:leader="none"/>
        </w:tabs>
        <w:bidi w:val="0"/>
        <w:spacing w:before="0" w:after="0"/>
        <w:ind w:hanging="283" w:start="709"/>
        <w:jc w:val="start"/>
        <w:rPr/>
      </w:pPr>
      <w:r>
        <w:rPr/>
        <w:t xml:space="preserve">The new/optional/external entity is on the Right </w:t>
      </w:r>
    </w:p>
    <w:p>
      <w:pPr>
        <w:pStyle w:val="BodyText"/>
        <w:numPr>
          <w:ilvl w:val="0"/>
          <w:numId w:val="5"/>
        </w:numPr>
        <w:tabs>
          <w:tab w:val="clear" w:pos="720"/>
          <w:tab w:val="left" w:pos="0" w:leader="none"/>
        </w:tabs>
        <w:bidi w:val="0"/>
        <w:ind w:hanging="283" w:start="709"/>
        <w:jc w:val="start"/>
        <w:rPr/>
      </w:pPr>
      <w:r>
        <w:rPr/>
        <w:t xml:space="preserve">The FK should go on the optional/external side → that's the Right side → choose </w:t>
      </w:r>
      <w:r>
        <w:rPr>
          <w:rStyle w:val="Strong"/>
        </w:rPr>
        <w:t>One-to-One Right</w:t>
      </w:r>
      <w:r>
        <w:rPr/>
        <w:t xml:space="preserve"> </w:t>
      </w:r>
    </w:p>
    <w:p>
      <w:pPr>
        <w:pStyle w:val="BodyText"/>
        <w:bidi w:val="0"/>
        <w:spacing w:lineRule="auto" w:line="276" w:before="0" w:after="140"/>
        <w:jc w:val="start"/>
        <w:rPr/>
      </w:pPr>
      <w:r>
        <w:rPr/>
        <w:t xml:space="preserve">So the practical heuristic boils down to: </w:t>
      </w:r>
      <w:r>
        <w:rPr>
          <w:rStyle w:val="Strong"/>
        </w:rPr>
        <w:t>start from your main entity's EM, pick One-to-One Right.</w:t>
      </w:r>
      <w:r>
        <w:rPr/>
        <w:t xml:space="preserve"> That covers the overwhelming majority of cases.</w:t>
      </w:r>
    </w:p>
    <w:p>
      <w:pPr>
        <w:pStyle w:val="Heading3"/>
        <w:numPr>
          <w:ilvl w:val="0"/>
          <w:numId w:val="0"/>
        </w:numPr>
        <w:bidi w:val="0"/>
        <w:spacing w:before="180" w:after="80"/>
        <w:ind w:hanging="0" w:start="0"/>
        <w:jc w:val="start"/>
        <w:rPr/>
      </w:pPr>
      <w:r>
        <w:rPr/>
        <w:t>Worked example: Contact ↔ MailingPlatformProfile</w:t>
      </w:r>
    </w:p>
    <w:p>
      <w:pPr>
        <w:pStyle w:val="BodyText"/>
        <w:numPr>
          <w:ilvl w:val="0"/>
          <w:numId w:val="6"/>
        </w:numPr>
        <w:tabs>
          <w:tab w:val="clear" w:pos="720"/>
          <w:tab w:val="left" w:pos="0" w:leader="none"/>
        </w:tabs>
        <w:bidi w:val="0"/>
        <w:spacing w:before="0" w:after="0"/>
        <w:ind w:hanging="283" w:start="709"/>
        <w:jc w:val="start"/>
        <w:rPr/>
      </w:pPr>
      <w:r>
        <w:rPr/>
        <w:t xml:space="preserve">Profile is optional (most Contacts won't have one) and mirrors an external system → FK should be on Profile. </w:t>
      </w:r>
    </w:p>
    <w:p>
      <w:pPr>
        <w:pStyle w:val="BodyText"/>
        <w:numPr>
          <w:ilvl w:val="0"/>
          <w:numId w:val="6"/>
        </w:numPr>
        <w:tabs>
          <w:tab w:val="clear" w:pos="720"/>
          <w:tab w:val="left" w:pos="0" w:leader="none"/>
        </w:tabs>
        <w:bidi w:val="0"/>
        <w:spacing w:before="0" w:after="0"/>
        <w:ind w:hanging="283" w:start="709"/>
        <w:jc w:val="start"/>
        <w:rPr/>
      </w:pPr>
      <w:r>
        <w:rPr/>
        <w:t xml:space="preserve">Natural starting point: Contact's EM (Contact already exists in your data). </w:t>
      </w:r>
    </w:p>
    <w:p>
      <w:pPr>
        <w:pStyle w:val="BodyText"/>
        <w:numPr>
          <w:ilvl w:val="0"/>
          <w:numId w:val="6"/>
        </w:numPr>
        <w:tabs>
          <w:tab w:val="clear" w:pos="720"/>
          <w:tab w:val="left" w:pos="0" w:leader="none"/>
        </w:tabs>
        <w:bidi w:val="0"/>
        <w:spacing w:before="0" w:after="0"/>
        <w:ind w:hanging="283" w:start="709"/>
        <w:jc w:val="start"/>
        <w:rPr/>
      </w:pPr>
      <w:r>
        <w:rPr/>
        <w:t xml:space="preserve">From Contact's EM: Contact = Left, Profile = Right. </w:t>
      </w:r>
    </w:p>
    <w:p>
      <w:pPr>
        <w:pStyle w:val="BodyText"/>
        <w:numPr>
          <w:ilvl w:val="0"/>
          <w:numId w:val="6"/>
        </w:numPr>
        <w:tabs>
          <w:tab w:val="clear" w:pos="720"/>
          <w:tab w:val="left" w:pos="0" w:leader="none"/>
        </w:tabs>
        <w:bidi w:val="0"/>
        <w:ind w:hanging="283" w:start="709"/>
        <w:jc w:val="start"/>
        <w:rPr/>
      </w:pPr>
      <w:r>
        <w:rPr/>
        <w:t xml:space="preserve">FK should be on the Right side → choose </w:t>
      </w:r>
      <w:r>
        <w:rPr>
          <w:rStyle w:val="Strong"/>
        </w:rPr>
        <w:t>One-to-One Right.</w:t>
      </w:r>
      <w:r>
        <w:rPr/>
        <w:t xml:space="preserve"> ✓ </w:t>
      </w:r>
    </w:p>
    <w:p>
      <w:pPr>
        <w:pStyle w:val="BodyText"/>
        <w:bidi w:val="0"/>
        <w:spacing w:lineRule="auto" w:line="276" w:before="0" w:after="140"/>
        <w:jc w:val="start"/>
        <w:rPr/>
      </w:pPr>
      <w:r>
        <w:rPr/>
        <w:t xml:space="preserve">If instead you were defining Profile first and adding the link from Profile's EM, Profile would be Left and Contact would be Right, so you'd pick </w:t>
      </w:r>
      <w:r>
        <w:rPr>
          <w:rStyle w:val="Strong"/>
        </w:rPr>
        <w:t>One-to-One Left</w:t>
      </w:r>
      <w:r>
        <w:rPr/>
        <w:t xml:space="preserve"> to put the FK on Profile. Same physical relationship, same FK placement, different name in the dialog.</w:t>
      </w:r>
    </w:p>
    <w:p>
      <w:pPr>
        <w:pStyle w:val="Heading3"/>
        <w:numPr>
          <w:ilvl w:val="0"/>
          <w:numId w:val="0"/>
        </w:numPr>
        <w:bidi w:val="0"/>
        <w:spacing w:before="180" w:after="80"/>
        <w:ind w:hanging="0" w:start="0"/>
        <w:jc w:val="start"/>
        <w:rPr/>
      </w:pPr>
      <w:r>
        <w:rPr/>
        <w:t>Quick reference</w:t>
      </w:r>
    </w:p>
    <w:tbl>
      <w:tblPr>
        <w:tblW w:w="9360" w:type="dxa"/>
        <w:jc w:val="start"/>
        <w:tblInd w:w="0" w:type="dxa"/>
        <w:tblLayout w:type="fixed"/>
        <w:tblCellMar>
          <w:top w:w="28" w:type="dxa"/>
          <w:start w:w="28" w:type="dxa"/>
          <w:bottom w:w="28" w:type="dxa"/>
          <w:end w:w="28" w:type="dxa"/>
        </w:tblCellMar>
      </w:tblPr>
      <w:tblGrid>
        <w:gridCol w:w="2479"/>
        <w:gridCol w:w="2695"/>
        <w:gridCol w:w="4186"/>
      </w:tblGrid>
      <w:tr>
        <w:trPr>
          <w:tblHeader w:val="true"/>
        </w:trPr>
        <w:tc>
          <w:tcPr>
            <w:tcW w:w="2479" w:type="dxa"/>
            <w:tcBorders/>
            <w:vAlign w:val="center"/>
          </w:tcPr>
          <w:p>
            <w:pPr>
              <w:pStyle w:val="TableHeading"/>
              <w:suppressLineNumbers/>
              <w:bidi w:val="0"/>
              <w:jc w:val="center"/>
              <w:rPr/>
            </w:pPr>
            <w:r>
              <w:rPr/>
              <w:t>You're configuring from…</w:t>
            </w:r>
          </w:p>
        </w:tc>
        <w:tc>
          <w:tcPr>
            <w:tcW w:w="2695" w:type="dxa"/>
            <w:tcBorders/>
            <w:vAlign w:val="center"/>
          </w:tcPr>
          <w:p>
            <w:pPr>
              <w:pStyle w:val="TableHeading"/>
              <w:suppressLineNumbers/>
              <w:bidi w:val="0"/>
              <w:jc w:val="center"/>
              <w:rPr/>
            </w:pPr>
            <w:r>
              <w:rPr/>
              <w:t>And the FK belongs on…</w:t>
            </w:r>
          </w:p>
        </w:tc>
        <w:tc>
          <w:tcPr>
            <w:tcW w:w="4186" w:type="dxa"/>
            <w:tcBorders/>
            <w:vAlign w:val="center"/>
          </w:tcPr>
          <w:p>
            <w:pPr>
              <w:pStyle w:val="TableHeading"/>
              <w:suppressLineNumbers/>
              <w:bidi w:val="0"/>
              <w:jc w:val="center"/>
              <w:rPr/>
            </w:pPr>
            <w:r>
              <w:rPr/>
              <w:t>Pick</w:t>
            </w:r>
          </w:p>
        </w:tc>
      </w:tr>
      <w:tr>
        <w:trPr/>
        <w:tc>
          <w:tcPr>
            <w:tcW w:w="2479" w:type="dxa"/>
            <w:tcBorders/>
            <w:vAlign w:val="center"/>
          </w:tcPr>
          <w:p>
            <w:pPr>
              <w:pStyle w:val="TableContents"/>
              <w:widowControl w:val="false"/>
              <w:suppressLineNumbers/>
              <w:bidi w:val="0"/>
              <w:jc w:val="start"/>
              <w:rPr/>
            </w:pPr>
            <w:r>
              <w:rPr/>
              <w:t>Established entity's EM</w:t>
            </w:r>
          </w:p>
        </w:tc>
        <w:tc>
          <w:tcPr>
            <w:tcW w:w="2695" w:type="dxa"/>
            <w:tcBorders/>
            <w:vAlign w:val="center"/>
          </w:tcPr>
          <w:p>
            <w:pPr>
              <w:pStyle w:val="TableContents"/>
              <w:widowControl w:val="false"/>
              <w:suppressLineNumbers/>
              <w:bidi w:val="0"/>
              <w:jc w:val="start"/>
              <w:rPr/>
            </w:pPr>
            <w:r>
              <w:rPr/>
              <w:t>The other (optional/external) side</w:t>
            </w:r>
          </w:p>
        </w:tc>
        <w:tc>
          <w:tcPr>
            <w:tcW w:w="4186" w:type="dxa"/>
            <w:tcBorders/>
            <w:vAlign w:val="center"/>
          </w:tcPr>
          <w:p>
            <w:pPr>
              <w:pStyle w:val="TableContents"/>
              <w:widowControl w:val="false"/>
              <w:suppressLineNumbers/>
              <w:bidi w:val="0"/>
              <w:jc w:val="start"/>
              <w:rPr/>
            </w:pPr>
            <w:r>
              <w:rPr>
                <w:rStyle w:val="Strong"/>
              </w:rPr>
              <w:t>One-to-One Right</w:t>
            </w:r>
          </w:p>
        </w:tc>
      </w:tr>
      <w:tr>
        <w:trPr/>
        <w:tc>
          <w:tcPr>
            <w:tcW w:w="2479" w:type="dxa"/>
            <w:tcBorders/>
            <w:vAlign w:val="center"/>
          </w:tcPr>
          <w:p>
            <w:pPr>
              <w:pStyle w:val="TableContents"/>
              <w:widowControl w:val="false"/>
              <w:suppressLineNumbers/>
              <w:bidi w:val="0"/>
              <w:jc w:val="start"/>
              <w:rPr/>
            </w:pPr>
            <w:r>
              <w:rPr/>
              <w:t>Optional/external entity's EM</w:t>
            </w:r>
          </w:p>
        </w:tc>
        <w:tc>
          <w:tcPr>
            <w:tcW w:w="2695" w:type="dxa"/>
            <w:tcBorders/>
            <w:vAlign w:val="center"/>
          </w:tcPr>
          <w:p>
            <w:pPr>
              <w:pStyle w:val="TableContents"/>
              <w:widowControl w:val="false"/>
              <w:suppressLineNumbers/>
              <w:bidi w:val="0"/>
              <w:jc w:val="start"/>
              <w:rPr/>
            </w:pPr>
            <w:r>
              <w:rPr/>
              <w:t>This entity (the one you're in)</w:t>
            </w:r>
          </w:p>
        </w:tc>
        <w:tc>
          <w:tcPr>
            <w:tcW w:w="4186" w:type="dxa"/>
            <w:tcBorders/>
            <w:vAlign w:val="center"/>
          </w:tcPr>
          <w:p>
            <w:pPr>
              <w:pStyle w:val="TableContents"/>
              <w:widowControl w:val="false"/>
              <w:suppressLineNumbers/>
              <w:bidi w:val="0"/>
              <w:jc w:val="start"/>
              <w:rPr/>
            </w:pPr>
            <w:r>
              <w:rPr>
                <w:rStyle w:val="Strong"/>
              </w:rPr>
              <w:t>One-to-One Left</w:t>
            </w:r>
          </w:p>
        </w:tc>
      </w:tr>
      <w:tr>
        <w:trPr/>
        <w:tc>
          <w:tcPr>
            <w:tcW w:w="2479" w:type="dxa"/>
            <w:tcBorders/>
            <w:vAlign w:val="center"/>
          </w:tcPr>
          <w:p>
            <w:pPr>
              <w:pStyle w:val="TableContents"/>
              <w:widowControl w:val="false"/>
              <w:suppressLineNumbers/>
              <w:bidi w:val="0"/>
              <w:jc w:val="start"/>
              <w:rPr/>
            </w:pPr>
            <w:r>
              <w:rPr/>
              <w:t>When in doubt</w:t>
            </w:r>
          </w:p>
        </w:tc>
        <w:tc>
          <w:tcPr>
            <w:tcW w:w="2695" w:type="dxa"/>
            <w:tcBorders/>
            <w:vAlign w:val="center"/>
          </w:tcPr>
          <w:p>
            <w:pPr>
              <w:pStyle w:val="TableContents"/>
              <w:widowControl w:val="false"/>
              <w:suppressLineNumbers/>
              <w:bidi w:val="0"/>
              <w:jc w:val="start"/>
              <w:rPr/>
            </w:pPr>
            <w:r>
              <w:rPr/>
              <w:t>—</w:t>
            </w:r>
          </w:p>
        </w:tc>
        <w:tc>
          <w:tcPr>
            <w:tcW w:w="4186" w:type="dxa"/>
            <w:tcBorders/>
            <w:vAlign w:val="center"/>
          </w:tcPr>
          <w:p>
            <w:pPr>
              <w:pStyle w:val="TableContents"/>
              <w:widowControl w:val="false"/>
              <w:suppressLineNumbers/>
              <w:bidi w:val="0"/>
              <w:jc w:val="start"/>
              <w:rPr/>
            </w:pPr>
            <w:r>
              <w:rPr/>
              <w:t xml:space="preserve">Start from the established entity's EM and use </w:t>
            </w:r>
            <w:r>
              <w:rPr>
                <w:rStyle w:val="Strong"/>
              </w:rPr>
              <w:t>Right</w:t>
            </w:r>
          </w:p>
        </w:tc>
      </w:tr>
    </w:tbl>
    <w:p>
      <w:pPr>
        <w:pStyle w:val="Normal"/>
        <w:bidi w:val="0"/>
        <w:spacing w:before="0" w:after="120"/>
        <w:jc w:val="start"/>
        <w:rPr>
          <w:rFonts w:ascii="Arial" w:hAnsi="Arial" w:eastAsia="Arial" w:cs="Arial"/>
          <w:sz w:val="22"/>
          <w:szCs w:val="22"/>
        </w:rPr>
      </w:pPr>
      <w:r>
        <w:rPr>
          <w:rFonts w:eastAsia="Arial" w:cs="Arial"/>
          <w:sz w:val="22"/>
          <w:szCs w:val="22"/>
        </w:rPr>
      </w:r>
    </w:p>
    <w:p>
      <w:pPr>
        <w:pStyle w:val="Normal"/>
        <w:bidi w:val="0"/>
        <w:jc w:val="start"/>
        <w:rPr/>
      </w:pPr>
      <w:r>
        <w:rPr/>
      </w:r>
    </w:p>
    <w:p>
      <w:pPr>
        <w:pStyle w:val="Heading1"/>
        <w:bidi w:val="0"/>
        <w:ind w:hanging="0" w:start="0"/>
        <w:jc w:val="start"/>
        <w:rPr>
          <w:rFonts w:ascii="Arial" w:hAnsi="Arial" w:eastAsia="Arial" w:cs="Arial"/>
          <w:b/>
          <w:bCs/>
          <w:color w:val="2E75B6"/>
          <w:sz w:val="32"/>
          <w:szCs w:val="32"/>
        </w:rPr>
      </w:pPr>
      <w:r>
        <w:rPr>
          <w:rFonts w:eastAsia="Arial" w:cs="Arial" w:ascii="Arial" w:hAnsi="Arial"/>
          <w:b/>
          <w:bCs/>
          <w:color w:val="2E75B6"/>
          <w:sz w:val="32"/>
          <w:szCs w:val="32"/>
        </w:rPr>
        <w:t>UI Configuration</w:t>
      </w:r>
    </w:p>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3. Adding a Related Panel to an Entity Detail View</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Once a relationship exists between two entities, you can display a related records panel on the detail view of either entity. This allows users to see, add, and edit linked records without leaving the parent record's page.</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 common example for CBM: after defining a relationship between Account and Engagement, you can add an Engagements panel to the Account detail view so that anyone viewing a company record can immediately see all associated engagements.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3.1 Prerequisites</w:t>
      </w:r>
    </w:p>
    <w:p>
      <w:pPr>
        <w:pStyle w:val="Normal"/>
        <w:bidi w:val="0"/>
        <w:spacing w:before="0" w:after="120"/>
        <w:jc w:val="start"/>
        <w:rPr>
          <w:rFonts w:ascii="Arial" w:hAnsi="Arial" w:eastAsia="Arial" w:cs="Arial"/>
          <w:sz w:val="22"/>
          <w:szCs w:val="22"/>
        </w:rPr>
      </w:pPr>
      <w:r>
        <w:rPr>
          <w:rFonts w:eastAsia="Arial" w:cs="Arial"/>
          <w:sz w:val="22"/>
          <w:szCs w:val="22"/>
        </w:rPr>
        <w:t>Before adding the panel, confirm the following:</w:t>
      </w:r>
    </w:p>
    <w:p>
      <w:pPr>
        <w:pStyle w:val="Normal"/>
        <w:bidi w:val="0"/>
        <w:jc w:val="start"/>
        <w:rPr/>
      </w:pPr>
      <w:r>
        <w:rPr/>
      </w:r>
    </w:p>
    <w:p>
      <w:pPr>
        <w:pStyle w:val="ListParagraph"/>
        <w:numPr>
          <w:ilvl w:val="0"/>
          <w:numId w:val="70"/>
        </w:numPr>
        <w:bidi w:val="0"/>
        <w:spacing w:before="0" w:after="80"/>
        <w:jc w:val="start"/>
        <w:rPr>
          <w:rFonts w:ascii="Arial" w:hAnsi="Arial" w:eastAsia="Arial" w:cs="Arial"/>
          <w:sz w:val="22"/>
          <w:szCs w:val="22"/>
        </w:rPr>
      </w:pPr>
      <w:r>
        <w:rPr>
          <w:rFonts w:eastAsia="Arial" w:cs="Arial"/>
          <w:sz w:val="22"/>
          <w:szCs w:val="22"/>
        </w:rPr>
        <w:t>A relationship between the two entities already exists (see Section 2).</w:t>
      </w:r>
    </w:p>
    <w:p>
      <w:pPr>
        <w:pStyle w:val="ListParagraph"/>
        <w:numPr>
          <w:ilvl w:val="0"/>
          <w:numId w:val="71"/>
        </w:numPr>
        <w:bidi w:val="0"/>
        <w:spacing w:before="0" w:after="80"/>
        <w:jc w:val="start"/>
        <w:rPr>
          <w:rFonts w:ascii="Arial" w:hAnsi="Arial" w:eastAsia="Arial" w:cs="Arial"/>
          <w:sz w:val="22"/>
          <w:szCs w:val="22"/>
        </w:rPr>
      </w:pPr>
      <w:r>
        <w:rPr>
          <w:rFonts w:eastAsia="Arial" w:cs="Arial"/>
          <w:sz w:val="22"/>
          <w:szCs w:val="22"/>
        </w:rPr>
        <w:t>You know which entity's detail view you want to add the panel to (e.g., Account).</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3.2 Step-by-Step: Adding the Panel</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1 — Open the Bottom Panels Layout</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Account → Layouts → Bottom Panels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2 — Locate the Related Panel</w:t>
      </w:r>
    </w:p>
    <w:p>
      <w:pPr>
        <w:pStyle w:val="Normal"/>
        <w:bidi w:val="0"/>
        <w:spacing w:before="0" w:after="120"/>
        <w:jc w:val="start"/>
        <w:rPr>
          <w:rFonts w:ascii="Arial" w:hAnsi="Arial" w:eastAsia="Arial" w:cs="Arial"/>
          <w:sz w:val="22"/>
          <w:szCs w:val="22"/>
        </w:rPr>
      </w:pPr>
      <w:r>
        <w:rPr>
          <w:rFonts w:eastAsia="Arial" w:cs="Arial"/>
          <w:sz w:val="22"/>
          <w:szCs w:val="22"/>
        </w:rPr>
        <w:t>The Bottom Panels layout shows all available relationship panels for this entity. Find the Engagements panel in the list. If it is currently disabled, it will appear in the disabled/hidden section.</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3 — Enable the Panel</w:t>
      </w:r>
    </w:p>
    <w:p>
      <w:pPr>
        <w:pStyle w:val="Normal"/>
        <w:bidi w:val="0"/>
        <w:spacing w:before="0" w:after="120"/>
        <w:jc w:val="start"/>
        <w:rPr>
          <w:rFonts w:ascii="Arial" w:hAnsi="Arial" w:eastAsia="Arial" w:cs="Arial"/>
          <w:sz w:val="22"/>
          <w:szCs w:val="22"/>
        </w:rPr>
      </w:pPr>
      <w:r>
        <w:rPr>
          <w:rFonts w:eastAsia="Arial" w:cs="Arial"/>
          <w:sz w:val="22"/>
          <w:szCs w:val="22"/>
        </w:rPr>
        <w:t>Drag the Engagements panel into the active area, or click the enable toggle next to it. Reorder panels by dragging them to your preferred position.</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Refresh the page and open any Account record — the Engagements panel will now appear on the detail view.</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3.3 Using the Panel</w:t>
      </w:r>
    </w:p>
    <w:p>
      <w:pPr>
        <w:pStyle w:val="Normal"/>
        <w:bidi w:val="0"/>
        <w:spacing w:before="0" w:after="120"/>
        <w:jc w:val="start"/>
        <w:rPr>
          <w:rFonts w:ascii="Arial" w:hAnsi="Arial" w:eastAsia="Arial" w:cs="Arial"/>
          <w:sz w:val="22"/>
          <w:szCs w:val="22"/>
        </w:rPr>
      </w:pPr>
      <w:r>
        <w:rPr>
          <w:rFonts w:eastAsia="Arial" w:cs="Arial"/>
          <w:sz w:val="22"/>
          <w:szCs w:val="22"/>
        </w:rPr>
        <w:t>Once the panel is visible on an Account detail page, users can:</w:t>
      </w:r>
    </w:p>
    <w:p>
      <w:pPr>
        <w:pStyle w:val="Normal"/>
        <w:bidi w:val="0"/>
        <w:jc w:val="start"/>
        <w:rPr/>
      </w:pPr>
      <w:r>
        <w:rPr/>
      </w:r>
    </w:p>
    <w:p>
      <w:pPr>
        <w:pStyle w:val="ListParagraph"/>
        <w:numPr>
          <w:ilvl w:val="0"/>
          <w:numId w:val="72"/>
        </w:numPr>
        <w:bidi w:val="0"/>
        <w:spacing w:before="0" w:after="80"/>
        <w:jc w:val="start"/>
        <w:rPr>
          <w:rFonts w:ascii="Arial" w:hAnsi="Arial" w:eastAsia="Arial" w:cs="Arial"/>
          <w:sz w:val="22"/>
          <w:szCs w:val="22"/>
        </w:rPr>
      </w:pPr>
      <w:r>
        <w:rPr>
          <w:rFonts w:eastAsia="Arial" w:cs="Arial"/>
          <w:sz w:val="22"/>
          <w:szCs w:val="22"/>
        </w:rPr>
        <w:t>View all Engagements linked to that Account in a summary list.</w:t>
      </w:r>
    </w:p>
    <w:p>
      <w:pPr>
        <w:pStyle w:val="ListParagraph"/>
        <w:numPr>
          <w:ilvl w:val="0"/>
          <w:numId w:val="73"/>
        </w:numPr>
        <w:bidi w:val="0"/>
        <w:spacing w:before="0" w:after="80"/>
        <w:jc w:val="start"/>
        <w:rPr>
          <w:rFonts w:ascii="Arial" w:hAnsi="Arial" w:eastAsia="Arial" w:cs="Arial"/>
          <w:sz w:val="22"/>
          <w:szCs w:val="22"/>
        </w:rPr>
      </w:pPr>
      <w:r>
        <w:rPr>
          <w:rFonts w:eastAsia="Arial" w:cs="Arial"/>
          <w:sz w:val="22"/>
          <w:szCs w:val="22"/>
        </w:rPr>
        <w:t>Click any Engagement record in the panel to open its full detail view.</w:t>
      </w:r>
    </w:p>
    <w:p>
      <w:pPr>
        <w:pStyle w:val="ListParagraph"/>
        <w:numPr>
          <w:ilvl w:val="0"/>
          <w:numId w:val="74"/>
        </w:numPr>
        <w:bidi w:val="0"/>
        <w:spacing w:before="0" w:after="80"/>
        <w:jc w:val="start"/>
        <w:rPr>
          <w:rFonts w:ascii="Arial" w:hAnsi="Arial" w:eastAsia="Arial" w:cs="Arial"/>
          <w:sz w:val="22"/>
          <w:szCs w:val="22"/>
        </w:rPr>
      </w:pPr>
      <w:r>
        <w:rPr>
          <w:rFonts w:eastAsia="Arial" w:cs="Arial"/>
          <w:sz w:val="22"/>
          <w:szCs w:val="22"/>
        </w:rPr>
        <w:t>Click the Create button (plus icon) within the panel to add a new Engagement directly linked to that Account.</w:t>
      </w:r>
    </w:p>
    <w:p>
      <w:pPr>
        <w:pStyle w:val="ListParagraph"/>
        <w:numPr>
          <w:ilvl w:val="0"/>
          <w:numId w:val="75"/>
        </w:numPr>
        <w:bidi w:val="0"/>
        <w:spacing w:before="0" w:after="80"/>
        <w:jc w:val="start"/>
        <w:rPr>
          <w:rFonts w:ascii="Arial" w:hAnsi="Arial" w:eastAsia="Arial" w:cs="Arial"/>
          <w:sz w:val="22"/>
          <w:szCs w:val="22"/>
        </w:rPr>
      </w:pPr>
      <w:r>
        <w:rPr>
          <w:rFonts w:eastAsia="Arial" w:cs="Arial"/>
          <w:sz w:val="22"/>
          <w:szCs w:val="22"/>
        </w:rPr>
        <w:t>Click the Edit button on any listed Engagement to modify it inline or open it for full editing.</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4. Configuring Fields Shown in a Relationship Panel</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4.1 Understanding the Layout Types</w:t>
      </w:r>
    </w:p>
    <w:p>
      <w:pPr>
        <w:pStyle w:val="Normal"/>
        <w:bidi w:val="0"/>
        <w:spacing w:before="0" w:after="120"/>
        <w:jc w:val="start"/>
        <w:rPr>
          <w:rFonts w:ascii="Arial" w:hAnsi="Arial" w:eastAsia="Arial" w:cs="Arial"/>
          <w:sz w:val="22"/>
          <w:szCs w:val="22"/>
        </w:rPr>
      </w:pPr>
      <w:r>
        <w:rPr>
          <w:rFonts w:eastAsia="Arial" w:cs="Arial"/>
          <w:sz w:val="22"/>
          <w:szCs w:val="22"/>
        </w:rPr>
        <w:t>EspoCRM uses two distinct list layouts for each entity:</w:t>
      </w:r>
    </w:p>
    <w:p>
      <w:pPr>
        <w:pStyle w:val="Normal"/>
        <w:bidi w:val="0"/>
        <w:jc w:val="start"/>
        <w:rPr/>
      </w:pPr>
      <w:r>
        <w:rPr/>
      </w:r>
    </w:p>
    <w:p>
      <w:pPr>
        <w:pStyle w:val="ListParagraph"/>
        <w:numPr>
          <w:ilvl w:val="0"/>
          <w:numId w:val="76"/>
        </w:numPr>
        <w:bidi w:val="0"/>
        <w:spacing w:before="0" w:after="80"/>
        <w:jc w:val="start"/>
        <w:rPr>
          <w:rFonts w:ascii="Arial" w:hAnsi="Arial" w:eastAsia="Arial" w:cs="Arial"/>
          <w:sz w:val="22"/>
          <w:szCs w:val="22"/>
        </w:rPr>
      </w:pPr>
      <w:r>
        <w:rPr>
          <w:rFonts w:eastAsia="Arial" w:cs="Arial"/>
          <w:sz w:val="22"/>
          <w:szCs w:val="22"/>
        </w:rPr>
        <w:t>List View — controls the columns shown on the entity's own main list page (e.g., when you click Engagements in the left navigation and see all engagements).</w:t>
      </w:r>
    </w:p>
    <w:p>
      <w:pPr>
        <w:pStyle w:val="ListParagraph"/>
        <w:numPr>
          <w:ilvl w:val="0"/>
          <w:numId w:val="77"/>
        </w:numPr>
        <w:bidi w:val="0"/>
        <w:spacing w:before="0" w:after="80"/>
        <w:jc w:val="start"/>
        <w:rPr>
          <w:rFonts w:ascii="Arial" w:hAnsi="Arial" w:eastAsia="Arial" w:cs="Arial"/>
          <w:sz w:val="22"/>
          <w:szCs w:val="22"/>
        </w:rPr>
      </w:pPr>
      <w:r>
        <w:rPr>
          <w:rFonts w:eastAsia="Arial" w:cs="Arial"/>
          <w:sz w:val="22"/>
          <w:szCs w:val="22"/>
        </w:rPr>
        <w:t>List (Small) — controls the columns shown when the entity appears as a related records panel inside another entity's detail page (e.g., the Engagements panel on an Account or Contact record).</w:t>
      </w:r>
    </w:p>
    <w:p>
      <w:pPr>
        <w:pStyle w:val="Normal"/>
        <w:bidi w:val="0"/>
        <w:jc w:val="start"/>
        <w:rPr/>
      </w:pPr>
      <w:r>
        <w:rPr/>
      </w:r>
    </w:p>
    <w:p>
      <w:pPr>
        <w:pStyle w:val="Normal"/>
        <w:bidi w:val="0"/>
        <w:spacing w:before="0" w:after="120"/>
        <w:jc w:val="start"/>
        <w:rPr/>
      </w:pPr>
      <w:r>
        <w:rPr>
          <w:rFonts w:eastAsia="Arial" w:cs="Arial"/>
          <w:sz w:val="22"/>
          <w:szCs w:val="22"/>
        </w:rPr>
        <w:t>These two layouts are independent. Changing one does not affect the other. For relationship panels, you always edit List (Small).</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4.2 Step-by-Step: Configuring the Panel Columns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1 — Open the List (Small) Layout</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[Child Entity] → Layouts → List (Small)</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example, to configure the columns shown in the Engagements panel on an Account page, go to: Admin → Entity Manager → Engagement → Layouts → List (Small)</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2 — Review the Current Columns</w:t>
      </w:r>
    </w:p>
    <w:p>
      <w:pPr>
        <w:pStyle w:val="Normal"/>
        <w:bidi w:val="0"/>
        <w:spacing w:before="0" w:after="120"/>
        <w:jc w:val="start"/>
        <w:rPr>
          <w:rFonts w:ascii="Arial" w:hAnsi="Arial" w:eastAsia="Arial" w:cs="Arial"/>
          <w:sz w:val="22"/>
          <w:szCs w:val="22"/>
        </w:rPr>
      </w:pPr>
      <w:r>
        <w:rPr>
          <w:rFonts w:eastAsia="Arial" w:cs="Arial"/>
          <w:sz w:val="22"/>
          <w:szCs w:val="22"/>
        </w:rPr>
        <w:t>The layout editor shows the fields currently included as columns on the left, and available fields that are not yet included on the right. EspoCRM typically pre-populates List (Small) with just the Name field.</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3 — Add Fields</w:t>
      </w:r>
    </w:p>
    <w:p>
      <w:pPr>
        <w:pStyle w:val="Normal"/>
        <w:bidi w:val="0"/>
        <w:spacing w:before="0" w:after="120"/>
        <w:jc w:val="start"/>
        <w:rPr>
          <w:rFonts w:ascii="Arial" w:hAnsi="Arial" w:eastAsia="Arial" w:cs="Arial"/>
          <w:sz w:val="22"/>
          <w:szCs w:val="22"/>
        </w:rPr>
      </w:pPr>
      <w:r>
        <w:rPr>
          <w:rFonts w:eastAsia="Arial" w:cs="Arial"/>
          <w:sz w:val="22"/>
          <w:szCs w:val="22"/>
        </w:rPr>
        <w:t>Drag fields from the available list on the right into the active columns on the left. Position them in the order you want them to appear left to right in the panel.</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an Engagements panel, useful fields to consider adding include:</w:t>
      </w:r>
    </w:p>
    <w:p>
      <w:pPr>
        <w:pStyle w:val="ListParagraph"/>
        <w:numPr>
          <w:ilvl w:val="0"/>
          <w:numId w:val="78"/>
        </w:numPr>
        <w:bidi w:val="0"/>
        <w:spacing w:before="0" w:after="80"/>
        <w:jc w:val="start"/>
        <w:rPr>
          <w:rFonts w:ascii="Arial" w:hAnsi="Arial" w:eastAsia="Arial" w:cs="Arial"/>
          <w:sz w:val="22"/>
          <w:szCs w:val="22"/>
        </w:rPr>
      </w:pPr>
      <w:r>
        <w:rPr>
          <w:rFonts w:eastAsia="Arial" w:cs="Arial"/>
          <w:sz w:val="22"/>
          <w:szCs w:val="22"/>
        </w:rPr>
        <w:t>Assigned Mentor — shows which mentor is linked to the engagement</w:t>
      </w:r>
    </w:p>
    <w:p>
      <w:pPr>
        <w:pStyle w:val="ListParagraph"/>
        <w:numPr>
          <w:ilvl w:val="0"/>
          <w:numId w:val="79"/>
        </w:numPr>
        <w:bidi w:val="0"/>
        <w:spacing w:before="0" w:after="80"/>
        <w:jc w:val="start"/>
        <w:rPr>
          <w:rFonts w:ascii="Arial" w:hAnsi="Arial" w:eastAsia="Arial" w:cs="Arial"/>
          <w:sz w:val="22"/>
          <w:szCs w:val="22"/>
        </w:rPr>
      </w:pPr>
      <w:r>
        <w:rPr>
          <w:rFonts w:eastAsia="Arial" w:cs="Arial"/>
          <w:sz w:val="22"/>
          <w:szCs w:val="22"/>
        </w:rPr>
        <w:t>Status — shows the current state of the engagement</w:t>
      </w:r>
    </w:p>
    <w:p>
      <w:pPr>
        <w:pStyle w:val="ListParagraph"/>
        <w:numPr>
          <w:ilvl w:val="0"/>
          <w:numId w:val="80"/>
        </w:numPr>
        <w:bidi w:val="0"/>
        <w:spacing w:before="0" w:after="80"/>
        <w:jc w:val="start"/>
        <w:rPr>
          <w:rFonts w:ascii="Arial" w:hAnsi="Arial" w:eastAsia="Arial" w:cs="Arial"/>
          <w:sz w:val="22"/>
          <w:szCs w:val="22"/>
        </w:rPr>
      </w:pPr>
      <w:r>
        <w:rPr>
          <w:rFonts w:eastAsia="Arial" w:cs="Arial"/>
          <w:sz w:val="22"/>
          <w:szCs w:val="22"/>
        </w:rPr>
        <w:t>Start Date — when the engagement began</w:t>
      </w:r>
    </w:p>
    <w:p>
      <w:pPr>
        <w:pStyle w:val="ListParagraph"/>
        <w:numPr>
          <w:ilvl w:val="0"/>
          <w:numId w:val="81"/>
        </w:numPr>
        <w:bidi w:val="0"/>
        <w:spacing w:before="0" w:after="80"/>
        <w:jc w:val="start"/>
        <w:rPr>
          <w:rFonts w:ascii="Arial" w:hAnsi="Arial" w:eastAsia="Arial" w:cs="Arial"/>
          <w:sz w:val="22"/>
          <w:szCs w:val="22"/>
        </w:rPr>
      </w:pPr>
      <w:r>
        <w:rPr>
          <w:rFonts w:eastAsia="Arial" w:cs="Arial"/>
          <w:sz w:val="22"/>
          <w:szCs w:val="22"/>
        </w:rPr>
        <w:t>Description — a brief summary of the engagement</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Refresh the page and open a parent record (e.g., an Account) — the panel will now display the updated columns.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4.3 Column Width Considerations</w:t>
      </w:r>
    </w:p>
    <w:p>
      <w:pPr>
        <w:pStyle w:val="Normal"/>
        <w:bidi w:val="0"/>
        <w:spacing w:before="0" w:after="120"/>
        <w:jc w:val="start"/>
        <w:rPr>
          <w:rFonts w:ascii="Arial" w:hAnsi="Arial" w:eastAsia="Arial" w:cs="Arial"/>
          <w:sz w:val="22"/>
          <w:szCs w:val="22"/>
        </w:rPr>
      </w:pPr>
      <w:r>
        <w:rPr>
          <w:rFonts w:eastAsia="Arial" w:cs="Arial"/>
          <w:sz w:val="22"/>
          <w:szCs w:val="22"/>
        </w:rPr>
        <w:t>Related panels have limited horizontal space compared to the full list page. If you add too many columns, they will either wrap, truncate, or cause horizontal scrolling. As a general guideline:</w:t>
      </w:r>
    </w:p>
    <w:p>
      <w:pPr>
        <w:pStyle w:val="Normal"/>
        <w:bidi w:val="0"/>
        <w:jc w:val="start"/>
        <w:rPr/>
      </w:pPr>
      <w:r>
        <w:rPr/>
      </w:r>
    </w:p>
    <w:p>
      <w:pPr>
        <w:pStyle w:val="ListParagraph"/>
        <w:numPr>
          <w:ilvl w:val="0"/>
          <w:numId w:val="82"/>
        </w:numPr>
        <w:bidi w:val="0"/>
        <w:spacing w:before="0" w:after="80"/>
        <w:jc w:val="start"/>
        <w:rPr>
          <w:rFonts w:ascii="Arial" w:hAnsi="Arial" w:eastAsia="Arial" w:cs="Arial"/>
          <w:sz w:val="22"/>
          <w:szCs w:val="22"/>
        </w:rPr>
      </w:pPr>
      <w:r>
        <w:rPr>
          <w:rFonts w:eastAsia="Arial" w:cs="Arial"/>
          <w:sz w:val="22"/>
          <w:szCs w:val="22"/>
        </w:rPr>
        <w:t>Keep List (Small) to 3–4 columns for comfortable readability.</w:t>
      </w:r>
    </w:p>
    <w:p>
      <w:pPr>
        <w:pStyle w:val="ListParagraph"/>
        <w:numPr>
          <w:ilvl w:val="0"/>
          <w:numId w:val="83"/>
        </w:numPr>
        <w:bidi w:val="0"/>
        <w:spacing w:before="0" w:after="80"/>
        <w:jc w:val="start"/>
        <w:rPr>
          <w:rFonts w:ascii="Arial" w:hAnsi="Arial" w:eastAsia="Arial" w:cs="Arial"/>
          <w:sz w:val="22"/>
          <w:szCs w:val="22"/>
        </w:rPr>
      </w:pPr>
      <w:r>
        <w:rPr>
          <w:rFonts w:eastAsia="Arial" w:cs="Arial"/>
          <w:sz w:val="22"/>
          <w:szCs w:val="22"/>
        </w:rPr>
        <w:t>Prioritize the most important at-a-glance fields — status, key date, and the most relevant link field.</w:t>
      </w:r>
    </w:p>
    <w:p>
      <w:pPr>
        <w:pStyle w:val="ListParagraph"/>
        <w:numPr>
          <w:ilvl w:val="0"/>
          <w:numId w:val="84"/>
        </w:numPr>
        <w:bidi w:val="0"/>
        <w:spacing w:before="0" w:after="80"/>
        <w:jc w:val="start"/>
        <w:rPr/>
      </w:pPr>
      <w:r>
        <w:rPr>
          <w:rFonts w:eastAsia="Arial" w:cs="Arial"/>
          <w:sz w:val="22"/>
          <w:szCs w:val="22"/>
        </w:rPr>
        <w:t>The Name field is usually kept as the first column since it is also the clickable link to open the full record.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5. Controlling Panel Visibility with Dynamic Logic</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Dynamic Logic allows panels and fields on an entity's detail view to be shown or hidden based on the value of another field on the same record. This is useful when different record types require different layouts — for example, showing a Mentor Details panel only when a Contact's type is set to Mentor, and a Client Details panel only when the type is set to Client.</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5.1 How It Works</w:t>
      </w:r>
    </w:p>
    <w:p>
      <w:pPr>
        <w:pStyle w:val="Normal"/>
        <w:bidi w:val="0"/>
        <w:spacing w:before="0" w:after="120"/>
        <w:jc w:val="start"/>
        <w:rPr>
          <w:rFonts w:ascii="Arial" w:hAnsi="Arial" w:eastAsia="Arial" w:cs="Arial"/>
          <w:sz w:val="22"/>
          <w:szCs w:val="22"/>
        </w:rPr>
      </w:pPr>
      <w:r>
        <w:rPr>
          <w:rFonts w:eastAsia="Arial" w:cs="Arial"/>
          <w:sz w:val="22"/>
          <w:szCs w:val="22"/>
        </w:rPr>
        <w:t>Dynamic Logic conditions are evaluated in real time as a record is viewed or edited. When a field value changes, the visibility of any panels or fields that depend on that condition updates immediately without requiring a page refresh.</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Conditions can be based on any field on the entity, including:</w:t>
      </w:r>
    </w:p>
    <w:p>
      <w:pPr>
        <w:pStyle w:val="ListParagraph"/>
        <w:numPr>
          <w:ilvl w:val="0"/>
          <w:numId w:val="85"/>
        </w:numPr>
        <w:bidi w:val="0"/>
        <w:spacing w:before="0" w:after="80"/>
        <w:jc w:val="start"/>
        <w:rPr>
          <w:rFonts w:ascii="Arial" w:hAnsi="Arial" w:eastAsia="Arial" w:cs="Arial"/>
          <w:sz w:val="22"/>
          <w:szCs w:val="22"/>
        </w:rPr>
      </w:pPr>
      <w:r>
        <w:rPr>
          <w:rFonts w:eastAsia="Arial" w:cs="Arial"/>
          <w:sz w:val="22"/>
          <w:szCs w:val="22"/>
        </w:rPr>
        <w:t>Enum (dropdown) fields — show a panel when the dropdown equals a specific value</w:t>
      </w:r>
    </w:p>
    <w:p>
      <w:pPr>
        <w:pStyle w:val="ListParagraph"/>
        <w:numPr>
          <w:ilvl w:val="0"/>
          <w:numId w:val="86"/>
        </w:numPr>
        <w:bidi w:val="0"/>
        <w:spacing w:before="0" w:after="80"/>
        <w:jc w:val="start"/>
        <w:rPr>
          <w:rFonts w:ascii="Arial" w:hAnsi="Arial" w:eastAsia="Arial" w:cs="Arial"/>
          <w:sz w:val="22"/>
          <w:szCs w:val="22"/>
        </w:rPr>
      </w:pPr>
      <w:r>
        <w:rPr>
          <w:rFonts w:eastAsia="Arial" w:cs="Arial"/>
          <w:sz w:val="22"/>
          <w:szCs w:val="22"/>
        </w:rPr>
        <w:t>Boolean fields — show a panel when a checkbox is checked</w:t>
      </w:r>
    </w:p>
    <w:p>
      <w:pPr>
        <w:pStyle w:val="ListParagraph"/>
        <w:numPr>
          <w:ilvl w:val="0"/>
          <w:numId w:val="87"/>
        </w:numPr>
        <w:bidi w:val="0"/>
        <w:spacing w:before="0" w:after="80"/>
        <w:jc w:val="start"/>
        <w:rPr>
          <w:rFonts w:ascii="Arial" w:hAnsi="Arial" w:eastAsia="Arial" w:cs="Arial"/>
          <w:sz w:val="22"/>
          <w:szCs w:val="22"/>
        </w:rPr>
      </w:pPr>
      <w:r>
        <w:rPr>
          <w:rFonts w:eastAsia="Arial" w:cs="Arial"/>
          <w:sz w:val="22"/>
          <w:szCs w:val="22"/>
        </w:rPr>
        <w:t>Link fields — show a panel when a relationship field is or is not empty</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When using an Enum field to drive Dynamic Logic, ensure the first option in the Enum list is a blank entry and the Default Value is also left blank. If the first option is not blank, EspoCRM will assign it as the default, which will cause a panel to be shown immediately on new records before a user has intentionally selected a value. See Section 1.4 for details on configuring Enum fields correctly.</w:t>
            </w:r>
          </w:p>
        </w:tc>
      </w:tr>
    </w:tbl>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5.2 Step-by-Step: Configuring Dynamic Logic for a Panel</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1 — Open Dynamic Logic</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Dynamic Logic</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2 — Locate the Panel</w:t>
      </w:r>
    </w:p>
    <w:p>
      <w:pPr>
        <w:pStyle w:val="Normal"/>
        <w:bidi w:val="0"/>
        <w:spacing w:before="0" w:after="120"/>
        <w:jc w:val="start"/>
        <w:rPr>
          <w:rFonts w:ascii="Arial" w:hAnsi="Arial" w:eastAsia="Arial" w:cs="Arial"/>
          <w:sz w:val="22"/>
          <w:szCs w:val="22"/>
        </w:rPr>
      </w:pPr>
      <w:r>
        <w:rPr>
          <w:rFonts w:eastAsia="Arial" w:cs="Arial"/>
          <w:sz w:val="22"/>
          <w:szCs w:val="22"/>
        </w:rPr>
        <w:t>The Dynamic Logic editor lists all panels available on the entity. Find the panel whose visibility you want to control and click on it to open its condition editor.</w:t>
      </w:r>
    </w:p>
    <w:p>
      <w:pPr>
        <w:pStyle w:val="Normal"/>
        <w:bidi w:val="0"/>
        <w:jc w:val="start"/>
        <w:rPr/>
      </w:pPr>
      <w:r>
        <w:rPr/>
      </w:r>
    </w:p>
    <w:p>
      <w:pPr>
        <w:pStyle w:val="Heading3"/>
        <w:numPr>
          <w:ilvl w:val="0"/>
          <w:numId w:val="0"/>
        </w:numPr>
        <w:bidi w:val="0"/>
        <w:spacing w:before="180" w:after="80"/>
        <w:ind w:hanging="0" w:start="0"/>
        <w:jc w:val="start"/>
        <w:rPr/>
      </w:pPr>
      <w:r>
        <w:rPr>
          <w:rFonts w:eastAsia="Arial" w:cs="Arial" w:ascii="Arial" w:hAnsi="Arial"/>
          <w:b/>
          <w:bCs/>
          <w:color w:val="595959"/>
          <w:sz w:val="24"/>
          <w:szCs w:val="24"/>
        </w:rPr>
        <w:t>Step 3 — Set the Visible Condition</w:t>
      </w:r>
    </w:p>
    <w:p>
      <w:pPr>
        <w:pStyle w:val="Normal"/>
        <w:bidi w:val="0"/>
        <w:spacing w:before="0" w:after="120"/>
        <w:jc w:val="start"/>
        <w:rPr>
          <w:rFonts w:ascii="Arial" w:hAnsi="Arial" w:eastAsia="Arial" w:cs="Arial"/>
          <w:sz w:val="22"/>
          <w:szCs w:val="22"/>
        </w:rPr>
      </w:pPr>
      <w:r>
        <w:rPr>
          <w:rFonts w:eastAsia="Arial" w:cs="Arial"/>
          <w:sz w:val="22"/>
          <w:szCs w:val="22"/>
        </w:rPr>
        <w:t>In the Visible condition section, define the rule that must be true for the panel to be displayed. Click Add Condition and configure:</w:t>
      </w:r>
    </w:p>
    <w:p>
      <w:pPr>
        <w:pStyle w:val="Normal"/>
        <w:bidi w:val="0"/>
        <w:jc w:val="start"/>
        <w:rPr/>
      </w:pPr>
      <w:r>
        <w:rPr/>
      </w:r>
    </w:p>
    <w:p>
      <w:pPr>
        <w:pStyle w:val="ListParagraph"/>
        <w:numPr>
          <w:ilvl w:val="0"/>
          <w:numId w:val="88"/>
        </w:numPr>
        <w:bidi w:val="0"/>
        <w:spacing w:before="0" w:after="80"/>
        <w:jc w:val="start"/>
        <w:rPr>
          <w:rFonts w:ascii="Arial" w:hAnsi="Arial" w:eastAsia="Arial" w:cs="Arial"/>
          <w:sz w:val="22"/>
          <w:szCs w:val="22"/>
        </w:rPr>
      </w:pPr>
      <w:r>
        <w:rPr>
          <w:rFonts w:eastAsia="Arial" w:cs="Arial"/>
          <w:sz w:val="22"/>
          <w:szCs w:val="22"/>
        </w:rPr>
        <w:t>Field — select the field whose value will drive the visibility (e.g., Contact Type).</w:t>
      </w:r>
    </w:p>
    <w:p>
      <w:pPr>
        <w:pStyle w:val="ListParagraph"/>
        <w:numPr>
          <w:ilvl w:val="0"/>
          <w:numId w:val="89"/>
        </w:numPr>
        <w:bidi w:val="0"/>
        <w:spacing w:before="0" w:after="80"/>
        <w:jc w:val="start"/>
        <w:rPr>
          <w:rFonts w:ascii="Arial" w:hAnsi="Arial" w:eastAsia="Arial" w:cs="Arial"/>
          <w:sz w:val="22"/>
          <w:szCs w:val="22"/>
        </w:rPr>
      </w:pPr>
      <w:r>
        <w:rPr>
          <w:rFonts w:eastAsia="Arial" w:cs="Arial"/>
          <w:sz w:val="22"/>
          <w:szCs w:val="22"/>
        </w:rPr>
        <w:t>Operator — select the comparison operator (e.g., Equals, Not Equals, Is Empty, etc.).</w:t>
      </w:r>
    </w:p>
    <w:p>
      <w:pPr>
        <w:pStyle w:val="ListParagraph"/>
        <w:numPr>
          <w:ilvl w:val="0"/>
          <w:numId w:val="90"/>
        </w:numPr>
        <w:bidi w:val="0"/>
        <w:spacing w:before="0" w:after="80"/>
        <w:jc w:val="start"/>
        <w:rPr>
          <w:rFonts w:ascii="Arial" w:hAnsi="Arial" w:eastAsia="Arial" w:cs="Arial"/>
          <w:sz w:val="22"/>
          <w:szCs w:val="22"/>
        </w:rPr>
      </w:pPr>
      <w:r>
        <w:rPr>
          <w:rFonts w:eastAsia="Arial" w:cs="Arial"/>
          <w:sz w:val="22"/>
          <w:szCs w:val="22"/>
        </w:rPr>
        <w:t>Value — enter or select the value to compare against (e.g., Mentor).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Multiple conditions can be combined using AND or OR logic if the visibility depends on more than one field value.</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The condition takes effect immediately. Open a record of that entity type and change the controlling field value to confirm the panel shows and hides correctly.</w:t>
      </w:r>
    </w:p>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5.3 Example: Contact Type Driving Panel Visibility</w:t>
      </w:r>
    </w:p>
    <w:p>
      <w:pPr>
        <w:pStyle w:val="Normal"/>
        <w:bidi w:val="0"/>
        <w:spacing w:before="0" w:after="120"/>
        <w:jc w:val="start"/>
        <w:rPr>
          <w:rFonts w:ascii="Arial" w:hAnsi="Arial" w:eastAsia="Arial" w:cs="Arial"/>
          <w:sz w:val="22"/>
          <w:szCs w:val="22"/>
        </w:rPr>
      </w:pPr>
      <w:r>
        <w:rPr>
          <w:rFonts w:eastAsia="Arial" w:cs="Arial"/>
          <w:sz w:val="22"/>
          <w:szCs w:val="22"/>
        </w:rPr>
        <w:t>The CBM Contact entity uses Contact Type (an enum field with values Mentor and Client) to control which detail panels are displayed. The configuration is: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798"/>
        <w:gridCol w:w="2802"/>
        <w:gridCol w:w="3760"/>
      </w:tblGrid>
      <w:tr>
        <w:trPr/>
        <w:tc>
          <w:tcPr>
            <w:tcW w:w="2798"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Panel</w:t>
            </w:r>
          </w:p>
        </w:tc>
        <w:tc>
          <w:tcPr>
            <w:tcW w:w="2802"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Visible When</w:t>
            </w:r>
          </w:p>
        </w:tc>
        <w:tc>
          <w:tcPr>
            <w:tcW w:w="37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Condition</w:t>
            </w:r>
          </w:p>
        </w:tc>
      </w:tr>
      <w:tr>
        <w:trPr/>
        <w:tc>
          <w:tcPr>
            <w:tcW w:w="27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 Details</w:t>
            </w:r>
          </w:p>
        </w:tc>
        <w:tc>
          <w:tcPr>
            <w:tcW w:w="28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 Mentor</w:t>
            </w:r>
          </w:p>
        </w:tc>
        <w:tc>
          <w:tcPr>
            <w:tcW w:w="3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Equals Mentor</w:t>
            </w:r>
          </w:p>
        </w:tc>
      </w:tr>
      <w:tr>
        <w:trPr/>
        <w:tc>
          <w:tcPr>
            <w:tcW w:w="2798"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 Details</w:t>
            </w:r>
          </w:p>
        </w:tc>
        <w:tc>
          <w:tcPr>
            <w:tcW w:w="28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 Client</w:t>
            </w:r>
          </w:p>
        </w:tc>
        <w:tc>
          <w:tcPr>
            <w:tcW w:w="3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Equals Client</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a Contact record is opened, only the panel matching the current Contact Type value is displayed. If Contact Type is not yet set, neither panel is shown until a value is selected.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Dynamic Logic conditions apply to the detail view and edit view only. They do not filter which records appear in list views or relationship panels — for that, use search filters or saved views.</w:t>
            </w:r>
          </w:p>
        </w:tc>
      </w:tr>
    </w:tbl>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6. Organizing Fields into Tabs on the Detail View</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entities with a large number of fields, EspoCRM supports organizing panels into tabs on the detail view. This reduces scrolling and improves usability by grouping related fields under clickable tab headers. Tab support is available as of EspoCRM v7.2.</w:t>
      </w:r>
    </w:p>
    <w:p>
      <w:pPr>
        <w:pStyle w:val="Normal"/>
        <w:bidi w:val="0"/>
        <w:jc w:val="start"/>
        <w:rPr/>
      </w:pPr>
      <w:r>
        <w:rPr/>
      </w:r>
    </w:p>
    <w:p>
      <w:pPr>
        <w:pStyle w:val="Heading3"/>
        <w:numPr>
          <w:ilvl w:val="0"/>
          <w:numId w:val="0"/>
        </w:numPr>
        <w:bidi w:val="0"/>
        <w:spacing w:before="180" w:after="80"/>
        <w:ind w:hanging="0" w:start="0"/>
        <w:jc w:val="start"/>
        <w:rPr/>
      </w:pPr>
      <w:r>
        <w:rPr>
          <w:rFonts w:eastAsia="Arial" w:cs="Arial" w:ascii="Arial" w:hAnsi="Arial"/>
          <w:b/>
          <w:bCs/>
          <w:color w:val="595959"/>
          <w:sz w:val="24"/>
          <w:szCs w:val="24"/>
        </w:rPr>
        <w:t>6.1 How Tabs Work</w:t>
      </w:r>
    </w:p>
    <w:p>
      <w:pPr>
        <w:pStyle w:val="Normal"/>
        <w:bidi w:val="0"/>
        <w:spacing w:before="0" w:after="120"/>
        <w:jc w:val="start"/>
        <w:rPr>
          <w:rFonts w:ascii="Arial" w:hAnsi="Arial" w:eastAsia="Arial" w:cs="Arial"/>
          <w:sz w:val="22"/>
          <w:szCs w:val="22"/>
        </w:rPr>
      </w:pPr>
      <w:r>
        <w:rPr>
          <w:rFonts w:eastAsia="Arial" w:cs="Arial"/>
          <w:sz w:val="22"/>
          <w:szCs w:val="22"/>
        </w:rPr>
        <w:t>Tabs are created by designating certain panels as Tab-Break panels in the Detail View layout. A Tab-Break panel marks the start of a new tab — all panels following it (until the next Tab-Break) are grouped into that tab. The Tab-Break panel's label becomes the tab header displayed at the top of the detail view.</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6.2 Step-by-Step: Adding Tabs to a Detail View</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1 — Open the Detail View Layout</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Layouts → Detail View</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2 — Edit a Panel to Make It a Tab-Break</w:t>
      </w:r>
    </w:p>
    <w:p>
      <w:pPr>
        <w:pStyle w:val="Normal"/>
        <w:bidi w:val="0"/>
        <w:spacing w:before="0" w:after="120"/>
        <w:jc w:val="start"/>
        <w:rPr>
          <w:rFonts w:ascii="Arial" w:hAnsi="Arial" w:eastAsia="Arial" w:cs="Arial"/>
          <w:sz w:val="22"/>
          <w:szCs w:val="22"/>
        </w:rPr>
      </w:pPr>
      <w:r>
        <w:rPr>
          <w:rFonts w:eastAsia="Arial" w:cs="Arial"/>
          <w:sz w:val="22"/>
          <w:szCs w:val="22"/>
        </w:rPr>
        <w:t>Click the pencil (edit) icon on the panel you want to be the first panel in a new tab. In the panel settings:</w:t>
      </w:r>
    </w:p>
    <w:p>
      <w:pPr>
        <w:pStyle w:val="Normal"/>
        <w:bidi w:val="0"/>
        <w:jc w:val="start"/>
        <w:rPr/>
      </w:pPr>
      <w:r>
        <w:rPr/>
      </w:r>
    </w:p>
    <w:p>
      <w:pPr>
        <w:pStyle w:val="ListParagraph"/>
        <w:numPr>
          <w:ilvl w:val="0"/>
          <w:numId w:val="91"/>
        </w:numPr>
        <w:bidi w:val="0"/>
        <w:spacing w:before="0" w:after="80"/>
        <w:jc w:val="start"/>
        <w:rPr>
          <w:rFonts w:ascii="Arial" w:hAnsi="Arial" w:eastAsia="Arial" w:cs="Arial"/>
          <w:sz w:val="22"/>
          <w:szCs w:val="22"/>
        </w:rPr>
      </w:pPr>
      <w:r>
        <w:rPr>
          <w:rFonts w:eastAsia="Arial" w:cs="Arial"/>
          <w:sz w:val="22"/>
          <w:szCs w:val="22"/>
        </w:rPr>
        <w:t>Check the Tab-break option to designate this panel as the start of a new tab.</w:t>
      </w:r>
    </w:p>
    <w:p>
      <w:pPr>
        <w:pStyle w:val="ListParagraph"/>
        <w:numPr>
          <w:ilvl w:val="0"/>
          <w:numId w:val="92"/>
        </w:numPr>
        <w:bidi w:val="0"/>
        <w:spacing w:before="0" w:after="80"/>
        <w:jc w:val="start"/>
        <w:rPr>
          <w:rFonts w:ascii="Arial" w:hAnsi="Arial" w:eastAsia="Arial" w:cs="Arial"/>
          <w:sz w:val="22"/>
          <w:szCs w:val="22"/>
        </w:rPr>
      </w:pPr>
      <w:r>
        <w:rPr>
          <w:rFonts w:eastAsia="Arial" w:cs="Arial"/>
          <w:sz w:val="22"/>
          <w:szCs w:val="22"/>
        </w:rPr>
        <w:t>Enter a Tab Label — this is the text that will appear on the tab header (e.g., Personal Info, Training, Engagement Details).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3 — Organize Additional Panels</w:t>
      </w:r>
    </w:p>
    <w:p>
      <w:pPr>
        <w:pStyle w:val="Normal"/>
        <w:bidi w:val="0"/>
        <w:spacing w:before="0" w:after="120"/>
        <w:jc w:val="start"/>
        <w:rPr>
          <w:rFonts w:ascii="Arial" w:hAnsi="Arial" w:eastAsia="Arial" w:cs="Arial"/>
          <w:sz w:val="22"/>
          <w:szCs w:val="22"/>
        </w:rPr>
      </w:pPr>
      <w:r>
        <w:rPr>
          <w:rFonts w:eastAsia="Arial" w:cs="Arial"/>
          <w:sz w:val="22"/>
          <w:szCs w:val="22"/>
        </w:rPr>
        <w:t>All panels below a Tab-Break panel are automatically grouped into that tab, until the next Tab-Break panel is encountered. To create additional tabs, repeat Step 2 for each panel that should start a new tab.</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example, if you have panels A, B, C, D, E and you mark A and C as Tab-Break panels:</w:t>
      </w:r>
    </w:p>
    <w:p>
      <w:pPr>
        <w:pStyle w:val="ListParagraph"/>
        <w:numPr>
          <w:ilvl w:val="0"/>
          <w:numId w:val="93"/>
        </w:numPr>
        <w:bidi w:val="0"/>
        <w:spacing w:before="0" w:after="80"/>
        <w:jc w:val="start"/>
        <w:rPr>
          <w:rFonts w:ascii="Arial" w:hAnsi="Arial" w:eastAsia="Arial" w:cs="Arial"/>
          <w:sz w:val="22"/>
          <w:szCs w:val="22"/>
        </w:rPr>
      </w:pPr>
      <w:r>
        <w:rPr>
          <w:rFonts w:eastAsia="Arial" w:cs="Arial"/>
          <w:sz w:val="22"/>
          <w:szCs w:val="22"/>
        </w:rPr>
        <w:t>Tab 1 (label from A) — contains panels A and B</w:t>
      </w:r>
    </w:p>
    <w:p>
      <w:pPr>
        <w:pStyle w:val="ListParagraph"/>
        <w:numPr>
          <w:ilvl w:val="0"/>
          <w:numId w:val="94"/>
        </w:numPr>
        <w:bidi w:val="0"/>
        <w:spacing w:before="0" w:after="80"/>
        <w:jc w:val="start"/>
        <w:rPr>
          <w:rFonts w:ascii="Arial" w:hAnsi="Arial" w:eastAsia="Arial" w:cs="Arial"/>
          <w:sz w:val="22"/>
          <w:szCs w:val="22"/>
        </w:rPr>
      </w:pPr>
      <w:r>
        <w:rPr>
          <w:rFonts w:eastAsia="Arial" w:cs="Arial"/>
          <w:sz w:val="22"/>
          <w:szCs w:val="22"/>
        </w:rPr>
        <w:t>Tab 2 (label from C) — contains panels C, D, and E</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Step 4 — Save and Clear Cache</w:t>
      </w:r>
    </w:p>
    <w:p>
      <w:pPr>
        <w:pStyle w:val="ListParagraph"/>
        <w:numPr>
          <w:ilvl w:val="0"/>
          <w:numId w:val="95"/>
        </w:numPr>
        <w:bidi w:val="0"/>
        <w:spacing w:before="0" w:after="100"/>
        <w:jc w:val="start"/>
        <w:rPr>
          <w:rFonts w:ascii="Arial" w:hAnsi="Arial" w:eastAsia="Arial" w:cs="Arial"/>
          <w:sz w:val="22"/>
          <w:szCs w:val="22"/>
        </w:rPr>
      </w:pPr>
      <w:r>
        <w:rPr>
          <w:rFonts w:eastAsia="Arial" w:cs="Arial"/>
          <w:sz w:val="22"/>
          <w:szCs w:val="22"/>
        </w:rPr>
        <w:t>Click Save in the layout editor.</w:t>
      </w:r>
    </w:p>
    <w:p>
      <w:pPr>
        <w:pStyle w:val="ListParagraph"/>
        <w:numPr>
          <w:ilvl w:val="0"/>
          <w:numId w:val="96"/>
        </w:numPr>
        <w:bidi w:val="0"/>
        <w:spacing w:before="0" w:after="100"/>
        <w:jc w:val="start"/>
        <w:rPr>
          <w:rFonts w:ascii="Arial" w:hAnsi="Arial" w:eastAsia="Arial" w:cs="Arial"/>
          <w:sz w:val="22"/>
          <w:szCs w:val="22"/>
        </w:rPr>
      </w:pPr>
      <w:r>
        <w:rPr>
          <w:rFonts w:eastAsia="Arial" w:cs="Arial"/>
          <w:sz w:val="22"/>
          <w:szCs w:val="22"/>
        </w:rPr>
        <w:t>Go to: Admin → Clear Cache.</w:t>
      </w:r>
    </w:p>
    <w:p>
      <w:pPr>
        <w:pStyle w:val="ListParagraph"/>
        <w:numPr>
          <w:ilvl w:val="0"/>
          <w:numId w:val="97"/>
        </w:numPr>
        <w:bidi w:val="0"/>
        <w:spacing w:before="0" w:after="100"/>
        <w:jc w:val="start"/>
        <w:rPr>
          <w:rFonts w:ascii="Arial" w:hAnsi="Arial" w:eastAsia="Arial" w:cs="Arial"/>
          <w:sz w:val="22"/>
          <w:szCs w:val="22"/>
        </w:rPr>
      </w:pPr>
      <w:r>
        <w:rPr>
          <w:rFonts w:eastAsia="Arial" w:cs="Arial"/>
          <w:sz w:val="22"/>
          <w:szCs w:val="22"/>
        </w:rPr>
        <w:t>Refresh your browser. The detail view will now show tabs at the top.</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6.3 Important Notes</w:t>
      </w:r>
    </w:p>
    <w:p>
      <w:pPr>
        <w:pStyle w:val="ListParagraph"/>
        <w:numPr>
          <w:ilvl w:val="0"/>
          <w:numId w:val="98"/>
        </w:numPr>
        <w:bidi w:val="0"/>
        <w:spacing w:before="0" w:after="80"/>
        <w:jc w:val="start"/>
        <w:rPr>
          <w:rFonts w:ascii="Arial" w:hAnsi="Arial" w:eastAsia="Arial" w:cs="Arial"/>
          <w:sz w:val="22"/>
          <w:szCs w:val="22"/>
        </w:rPr>
      </w:pPr>
      <w:r>
        <w:rPr>
          <w:rFonts w:eastAsia="Arial" w:cs="Arial"/>
          <w:sz w:val="22"/>
          <w:szCs w:val="22"/>
        </w:rPr>
        <w:t>Tab-Break panels should not be combined with the Hidden panel parameter — they are not fully compatible.</w:t>
      </w:r>
    </w:p>
    <w:p>
      <w:pPr>
        <w:pStyle w:val="ListParagraph"/>
        <w:numPr>
          <w:ilvl w:val="0"/>
          <w:numId w:val="99"/>
        </w:numPr>
        <w:bidi w:val="0"/>
        <w:spacing w:before="0" w:after="80"/>
        <w:jc w:val="start"/>
        <w:rPr>
          <w:rFonts w:ascii="Arial" w:hAnsi="Arial" w:eastAsia="Arial" w:cs="Arial"/>
          <w:sz w:val="22"/>
          <w:szCs w:val="22"/>
        </w:rPr>
      </w:pPr>
      <w:r>
        <w:rPr>
          <w:rFonts w:eastAsia="Arial" w:cs="Arial"/>
          <w:sz w:val="22"/>
          <w:szCs w:val="22"/>
        </w:rPr>
        <w:t>Dynamic Logic conditions can be used to control the visibility of both individual panels and entire tabs based on field values, the same way as documented in Section 5.</w:t>
      </w:r>
    </w:p>
    <w:p>
      <w:pPr>
        <w:pStyle w:val="ListParagraph"/>
        <w:numPr>
          <w:ilvl w:val="0"/>
          <w:numId w:val="100"/>
        </w:numPr>
        <w:bidi w:val="0"/>
        <w:spacing w:before="0" w:after="80"/>
        <w:jc w:val="start"/>
        <w:rPr/>
      </w:pPr>
      <w:r>
        <w:rPr>
          <w:rFonts w:eastAsia="Arial" w:cs="Arial"/>
          <w:sz w:val="22"/>
          <w:szCs w:val="22"/>
        </w:rPr>
        <w:t>If only one tab is defined, EspoCRM will display the layout without tabs. At least two Tab-Break panels are needed for the tab interface to appear.</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Tab organization only affects the Detail View and Edit View. It has no effect on List View, Bottom Panels, or List (Small) layouts.</w:t>
            </w:r>
          </w:p>
        </w:tc>
      </w:tr>
    </w:tbl>
    <w:p>
      <w:pPr>
        <w:pStyle w:val="Normal"/>
        <w:bidi w:val="0"/>
        <w:jc w:val="start"/>
        <w:rPr/>
      </w:pPr>
      <w:r>
        <w:rPr/>
      </w:r>
    </w:p>
    <w:p>
      <w:pPr>
        <w:pStyle w:val="Normal"/>
        <w:bidi w:val="0"/>
        <w:jc w:val="start"/>
        <w:rPr/>
      </w:pPr>
      <w:r>
        <w:rPr/>
      </w:r>
    </w:p>
    <w:p>
      <w:pPr>
        <w:pStyle w:val="Heading1"/>
        <w:bidi w:val="0"/>
        <w:ind w:hanging="0" w:start="0"/>
        <w:jc w:val="start"/>
        <w:rPr>
          <w:rFonts w:ascii="Arial" w:hAnsi="Arial" w:eastAsia="Arial" w:cs="Arial"/>
          <w:b/>
          <w:bCs/>
          <w:color w:val="2E75B6"/>
          <w:sz w:val="32"/>
          <w:szCs w:val="32"/>
        </w:rPr>
      </w:pPr>
      <w:r>
        <w:rPr>
          <w:rFonts w:eastAsia="Arial" w:cs="Arial" w:ascii="Arial" w:hAnsi="Arial"/>
          <w:b/>
          <w:bCs/>
          <w:color w:val="2E75B6"/>
          <w:sz w:val="32"/>
          <w:szCs w:val="32"/>
        </w:rPr>
        <w:t>Email Configuration</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5. Understanding How EspoCRM Handles Email</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5.1 Core Concept</w:t>
      </w:r>
    </w:p>
    <w:p>
      <w:pPr>
        <w:pStyle w:val="Normal"/>
        <w:bidi w:val="0"/>
        <w:spacing w:before="0" w:after="120"/>
        <w:jc w:val="start"/>
        <w:rPr>
          <w:rFonts w:ascii="Arial" w:hAnsi="Arial" w:eastAsia="Arial" w:cs="Arial"/>
          <w:sz w:val="22"/>
          <w:szCs w:val="22"/>
        </w:rPr>
      </w:pPr>
      <w:r>
        <w:rPr>
          <w:rFonts w:eastAsia="Arial" w:cs="Arial"/>
          <w:sz w:val="22"/>
          <w:szCs w:val="22"/>
        </w:rPr>
        <w:t>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Emails are fetched automatically by the system in the background every few minutes. The fetch interval can be configured by the administrator.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 user with sufficient permissions can see emails that were not addressed directly to them, which allows administrators to monitor team communications where needed.</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5.2 Email Status Values</w:t>
      </w:r>
    </w:p>
    <w:p>
      <w:pPr>
        <w:pStyle w:val="Normal"/>
        <w:bidi w:val="0"/>
        <w:spacing w:before="0" w:after="120"/>
        <w:jc w:val="start"/>
        <w:rPr>
          <w:rFonts w:ascii="Arial" w:hAnsi="Arial" w:eastAsia="Arial" w:cs="Arial"/>
          <w:sz w:val="22"/>
          <w:szCs w:val="22"/>
        </w:rPr>
      </w:pPr>
      <w:r>
        <w:rPr>
          <w:rFonts w:eastAsia="Arial" w:cs="Arial"/>
          <w:sz w:val="22"/>
          <w:szCs w:val="22"/>
        </w:rPr>
        <w:t>Each email record in EspoCRM has a Status field with one of the following values:</w:t>
      </w:r>
    </w:p>
    <w:p>
      <w:pPr>
        <w:pStyle w:val="Normal"/>
        <w:bidi w:val="0"/>
        <w:jc w:val="start"/>
        <w:rPr/>
      </w:pPr>
      <w:r>
        <w:rPr/>
      </w:r>
    </w:p>
    <w:p>
      <w:pPr>
        <w:pStyle w:val="ListParagraph"/>
        <w:numPr>
          <w:ilvl w:val="0"/>
          <w:numId w:val="101"/>
        </w:numPr>
        <w:bidi w:val="0"/>
        <w:spacing w:before="0" w:after="80"/>
        <w:jc w:val="start"/>
        <w:rPr>
          <w:rFonts w:ascii="Arial" w:hAnsi="Arial" w:eastAsia="Arial" w:cs="Arial"/>
          <w:sz w:val="22"/>
          <w:szCs w:val="22"/>
        </w:rPr>
      </w:pPr>
      <w:r>
        <w:rPr>
          <w:rFonts w:eastAsia="Arial" w:cs="Arial"/>
          <w:sz w:val="22"/>
          <w:szCs w:val="22"/>
        </w:rPr>
        <w:t>Sent — the email was composed and sent from within EspoCRM.</w:t>
      </w:r>
    </w:p>
    <w:p>
      <w:pPr>
        <w:pStyle w:val="ListParagraph"/>
        <w:numPr>
          <w:ilvl w:val="0"/>
          <w:numId w:val="102"/>
        </w:numPr>
        <w:bidi w:val="0"/>
        <w:spacing w:before="0" w:after="80"/>
        <w:jc w:val="start"/>
        <w:rPr>
          <w:rFonts w:ascii="Arial" w:hAnsi="Arial" w:eastAsia="Arial" w:cs="Arial"/>
          <w:sz w:val="22"/>
          <w:szCs w:val="22"/>
        </w:rPr>
      </w:pPr>
      <w:r>
        <w:rPr>
          <w:rFonts w:eastAsia="Arial" w:cs="Arial"/>
          <w:sz w:val="22"/>
          <w:szCs w:val="22"/>
        </w:rPr>
        <w:t>Imported — the email was fetched from an IMAP account or imported manually.</w:t>
      </w:r>
    </w:p>
    <w:p>
      <w:pPr>
        <w:pStyle w:val="ListParagraph"/>
        <w:numPr>
          <w:ilvl w:val="0"/>
          <w:numId w:val="103"/>
        </w:numPr>
        <w:bidi w:val="0"/>
        <w:spacing w:before="0" w:after="80"/>
        <w:jc w:val="start"/>
        <w:rPr>
          <w:rFonts w:ascii="Arial" w:hAnsi="Arial" w:eastAsia="Arial" w:cs="Arial"/>
          <w:sz w:val="22"/>
          <w:szCs w:val="22"/>
        </w:rPr>
      </w:pPr>
      <w:r>
        <w:rPr>
          <w:rFonts w:eastAsia="Arial" w:cs="Arial"/>
          <w:sz w:val="22"/>
          <w:szCs w:val="22"/>
        </w:rPr>
        <w:t>Draft — the email was composed but not yet sent.</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5.3 How Emails Are Linked to Records</w:t>
      </w:r>
    </w:p>
    <w:p>
      <w:pPr>
        <w:pStyle w:val="Normal"/>
        <w:bidi w:val="0"/>
        <w:spacing w:before="0" w:after="120"/>
        <w:jc w:val="start"/>
        <w:rPr>
          <w:rFonts w:ascii="Arial" w:hAnsi="Arial" w:eastAsia="Arial" w:cs="Arial"/>
          <w:sz w:val="22"/>
          <w:szCs w:val="22"/>
        </w:rPr>
      </w:pPr>
      <w:r>
        <w:rPr>
          <w:rFonts w:eastAsia="Arial" w:cs="Arial"/>
          <w:sz w:val="22"/>
          <w:szCs w:val="22"/>
        </w:rPr>
        <w:t>When a new email arrives, EspoCRM attempts to automatically recognize which record it belongs to and link it accordingly. It can link to Accounts, Contacts, Leads, Opportunities, Cases, and other entities based on matching email addresses.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If the system cannot automatically link an email, the user can link it manually by filling in the Parent field on the email record.</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All emails linked to a specific record are shown in the History panel of that record. If an email is linked to a related record (for example, an email linked to an Engagement that is itself linked to an Account), the email will appear in the History panel of both records.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If an email comes from a new potential contact, the user can convert it to a Lead from the top-right menu of the email record. It is also possible to create a Task or Case directly from an email record using the same menu.</w:t>
            </w:r>
          </w:p>
        </w:tc>
      </w:tr>
    </w:tbl>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6. The Emails List View</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6.1 Default Folders</w:t>
      </w:r>
    </w:p>
    <w:p>
      <w:pPr>
        <w:pStyle w:val="Normal"/>
        <w:bidi w:val="0"/>
        <w:spacing w:before="0" w:after="120"/>
        <w:jc w:val="start"/>
        <w:rPr>
          <w:rFonts w:ascii="Arial" w:hAnsi="Arial" w:eastAsia="Arial" w:cs="Arial"/>
          <w:sz w:val="22"/>
          <w:szCs w:val="22"/>
        </w:rPr>
      </w:pPr>
      <w:r>
        <w:rPr>
          <w:rFonts w:eastAsia="Arial" w:cs="Arial"/>
          <w:sz w:val="22"/>
          <w:szCs w:val="22"/>
        </w:rPr>
        <w:t>The Emails list view is accessed via the Emails tab in the navigation. The following default folders are available to all users:</w:t>
      </w:r>
    </w:p>
    <w:p>
      <w:pPr>
        <w:pStyle w:val="Normal"/>
        <w:bidi w:val="0"/>
        <w:jc w:val="start"/>
        <w:rPr/>
      </w:pPr>
      <w:r>
        <w:rPr/>
      </w:r>
    </w:p>
    <w:p>
      <w:pPr>
        <w:pStyle w:val="ListParagraph"/>
        <w:numPr>
          <w:ilvl w:val="0"/>
          <w:numId w:val="104"/>
        </w:numPr>
        <w:bidi w:val="0"/>
        <w:spacing w:before="0" w:after="80"/>
        <w:jc w:val="start"/>
        <w:rPr>
          <w:rFonts w:ascii="Arial" w:hAnsi="Arial" w:eastAsia="Arial" w:cs="Arial"/>
          <w:sz w:val="22"/>
          <w:szCs w:val="22"/>
        </w:rPr>
      </w:pPr>
      <w:r>
        <w:rPr>
          <w:rFonts w:eastAsia="Arial" w:cs="Arial"/>
          <w:sz w:val="22"/>
          <w:szCs w:val="22"/>
        </w:rPr>
        <w:t>All — all emails in the system the user has access to, including emails belonging to other users if Roles permit.</w:t>
      </w:r>
    </w:p>
    <w:p>
      <w:pPr>
        <w:pStyle w:val="ListParagraph"/>
        <w:numPr>
          <w:ilvl w:val="0"/>
          <w:numId w:val="105"/>
        </w:numPr>
        <w:bidi w:val="0"/>
        <w:spacing w:before="0" w:after="80"/>
        <w:jc w:val="start"/>
        <w:rPr>
          <w:rFonts w:ascii="Arial" w:hAnsi="Arial" w:eastAsia="Arial" w:cs="Arial"/>
          <w:sz w:val="22"/>
          <w:szCs w:val="22"/>
        </w:rPr>
      </w:pPr>
      <w:r>
        <w:rPr>
          <w:rFonts w:eastAsia="Arial" w:cs="Arial"/>
          <w:sz w:val="22"/>
          <w:szCs w:val="22"/>
        </w:rPr>
        <w:t>Inbox — incoming emails addressed to the user are automatically placed here.</w:t>
      </w:r>
    </w:p>
    <w:p>
      <w:pPr>
        <w:pStyle w:val="ListParagraph"/>
        <w:numPr>
          <w:ilvl w:val="0"/>
          <w:numId w:val="106"/>
        </w:numPr>
        <w:bidi w:val="0"/>
        <w:spacing w:before="0" w:after="80"/>
        <w:jc w:val="start"/>
        <w:rPr>
          <w:rFonts w:ascii="Arial" w:hAnsi="Arial" w:eastAsia="Arial" w:cs="Arial"/>
          <w:sz w:val="22"/>
          <w:szCs w:val="22"/>
        </w:rPr>
      </w:pPr>
      <w:r>
        <w:rPr>
          <w:rFonts w:eastAsia="Arial" w:cs="Arial"/>
          <w:sz w:val="22"/>
          <w:szCs w:val="22"/>
        </w:rPr>
        <w:t>Sent — emails sent by the user from within EspoCRM.</w:t>
      </w:r>
    </w:p>
    <w:p>
      <w:pPr>
        <w:pStyle w:val="ListParagraph"/>
        <w:numPr>
          <w:ilvl w:val="0"/>
          <w:numId w:val="107"/>
        </w:numPr>
        <w:bidi w:val="0"/>
        <w:spacing w:before="0" w:after="80"/>
        <w:jc w:val="start"/>
        <w:rPr>
          <w:rFonts w:ascii="Arial" w:hAnsi="Arial" w:eastAsia="Arial" w:cs="Arial"/>
          <w:sz w:val="22"/>
          <w:szCs w:val="22"/>
        </w:rPr>
      </w:pPr>
      <w:r>
        <w:rPr>
          <w:rFonts w:eastAsia="Arial" w:cs="Arial"/>
          <w:sz w:val="22"/>
          <w:szCs w:val="22"/>
        </w:rPr>
        <w:t>Draft — emails composed but not yet sent.</w:t>
      </w:r>
    </w:p>
    <w:p>
      <w:pPr>
        <w:pStyle w:val="ListParagraph"/>
        <w:numPr>
          <w:ilvl w:val="0"/>
          <w:numId w:val="108"/>
        </w:numPr>
        <w:bidi w:val="0"/>
        <w:spacing w:before="0" w:after="80"/>
        <w:jc w:val="start"/>
        <w:rPr>
          <w:rFonts w:ascii="Arial" w:hAnsi="Arial" w:eastAsia="Arial" w:cs="Arial"/>
          <w:sz w:val="22"/>
          <w:szCs w:val="22"/>
        </w:rPr>
      </w:pPr>
      <w:r>
        <w:rPr>
          <w:rFonts w:eastAsia="Arial" w:cs="Arial"/>
          <w:sz w:val="22"/>
          <w:szCs w:val="22"/>
        </w:rPr>
        <w:t>Archive — inbox emails that the user has explicitly moved to the Archive.</w:t>
      </w:r>
    </w:p>
    <w:p>
      <w:pPr>
        <w:pStyle w:val="ListParagraph"/>
        <w:numPr>
          <w:ilvl w:val="0"/>
          <w:numId w:val="109"/>
        </w:numPr>
        <w:bidi w:val="0"/>
        <w:spacing w:before="0" w:after="80"/>
        <w:jc w:val="start"/>
        <w:rPr>
          <w:rFonts w:ascii="Arial" w:hAnsi="Arial" w:eastAsia="Arial" w:cs="Arial"/>
          <w:sz w:val="22"/>
          <w:szCs w:val="22"/>
        </w:rPr>
      </w:pPr>
      <w:r>
        <w:rPr>
          <w:rFonts w:eastAsia="Arial" w:cs="Arial"/>
          <w:sz w:val="22"/>
          <w:szCs w:val="22"/>
        </w:rPr>
        <w:t>Trash — inbox emails that the user has explicitly moved to the Trash.</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In addition to the default folders, personal Email Folders and Group Email Folders created by the user or administrator will also appear in the list.</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6.2 Inbox Behavior</w:t>
      </w:r>
    </w:p>
    <w:p>
      <w:pPr>
        <w:pStyle w:val="Normal"/>
        <w:bidi w:val="0"/>
        <w:spacing w:before="0" w:after="120"/>
        <w:jc w:val="start"/>
        <w:rPr>
          <w:rFonts w:ascii="Arial" w:hAnsi="Arial" w:eastAsia="Arial" w:cs="Arial"/>
          <w:sz w:val="22"/>
          <w:szCs w:val="22"/>
        </w:rPr>
      </w:pPr>
      <w:r>
        <w:rPr>
          <w:rFonts w:eastAsia="Arial" w:cs="Arial"/>
          <w:sz w:val="22"/>
          <w:szCs w:val="22"/>
        </w:rPr>
        <w:t>Only emails in the Inbox can be:</w:t>
      </w:r>
    </w:p>
    <w:p>
      <w:pPr>
        <w:pStyle w:val="Normal"/>
        <w:bidi w:val="0"/>
        <w:jc w:val="start"/>
        <w:rPr/>
      </w:pPr>
      <w:r>
        <w:rPr/>
      </w:r>
    </w:p>
    <w:p>
      <w:pPr>
        <w:pStyle w:val="ListParagraph"/>
        <w:numPr>
          <w:ilvl w:val="0"/>
          <w:numId w:val="110"/>
        </w:numPr>
        <w:bidi w:val="0"/>
        <w:spacing w:before="0" w:after="80"/>
        <w:jc w:val="start"/>
        <w:rPr>
          <w:rFonts w:ascii="Arial" w:hAnsi="Arial" w:eastAsia="Arial" w:cs="Arial"/>
          <w:sz w:val="22"/>
          <w:szCs w:val="22"/>
        </w:rPr>
      </w:pPr>
      <w:r>
        <w:rPr>
          <w:rFonts w:eastAsia="Arial" w:cs="Arial"/>
          <w:sz w:val="22"/>
          <w:szCs w:val="22"/>
        </w:rPr>
        <w:t>Moved to Archive, Trash, or a personal Email Folder by the user.</w:t>
      </w:r>
    </w:p>
    <w:p>
      <w:pPr>
        <w:pStyle w:val="ListParagraph"/>
        <w:numPr>
          <w:ilvl w:val="0"/>
          <w:numId w:val="111"/>
        </w:numPr>
        <w:bidi w:val="0"/>
        <w:spacing w:before="0" w:after="80"/>
        <w:jc w:val="start"/>
        <w:rPr>
          <w:rFonts w:ascii="Arial" w:hAnsi="Arial" w:eastAsia="Arial" w:cs="Arial"/>
          <w:sz w:val="22"/>
          <w:szCs w:val="22"/>
        </w:rPr>
      </w:pPr>
      <w:r>
        <w:rPr>
          <w:rFonts w:eastAsia="Arial" w:cs="Arial"/>
          <w:sz w:val="22"/>
          <w:szCs w:val="22"/>
        </w:rPr>
        <w:t>Marked as read, unread, or important by the user.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same email record can appear in the Inbox of multiple users simultaneously — for example, if multiple users were recipients of the same message.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When removing an email it is removed from the system entirely and will disappear from all inboxes. To avoid permanent deletion, use Move to Trash instead. Administrators can restrict delete access for users to prevent accidental email loss.</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6.3 Dragging Emails to Folders</w:t>
      </w:r>
    </w:p>
    <w:p>
      <w:pPr>
        <w:pStyle w:val="Normal"/>
        <w:bidi w:val="0"/>
        <w:spacing w:before="0" w:after="120"/>
        <w:jc w:val="start"/>
        <w:rPr>
          <w:rFonts w:ascii="Arial" w:hAnsi="Arial" w:eastAsia="Arial" w:cs="Arial"/>
          <w:sz w:val="22"/>
          <w:szCs w:val="22"/>
        </w:rPr>
      </w:pPr>
      <w:r>
        <w:rPr>
          <w:rFonts w:eastAsia="Arial" w:cs="Arial"/>
          <w:sz w:val="22"/>
          <w:szCs w:val="22"/>
        </w:rPr>
        <w:t>On the list view, emails can be moved between folders by dragging them by their subject link into the desired folder. This feature is available as of EspoCRM v7.3.</w:t>
      </w:r>
    </w:p>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7. Sending Emails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7.1 Ways to Compose an Email</w:t>
      </w:r>
    </w:p>
    <w:p>
      <w:pPr>
        <w:pStyle w:val="Normal"/>
        <w:bidi w:val="0"/>
        <w:spacing w:before="0" w:after="120"/>
        <w:jc w:val="start"/>
        <w:rPr>
          <w:rFonts w:ascii="Arial" w:hAnsi="Arial" w:eastAsia="Arial" w:cs="Arial"/>
          <w:sz w:val="22"/>
          <w:szCs w:val="22"/>
        </w:rPr>
      </w:pPr>
      <w:r>
        <w:rPr>
          <w:rFonts w:eastAsia="Arial" w:cs="Arial"/>
          <w:sz w:val="22"/>
          <w:szCs w:val="22"/>
        </w:rPr>
        <w:t>A new email can be composed in several ways:</w:t>
      </w:r>
    </w:p>
    <w:p>
      <w:pPr>
        <w:pStyle w:val="Normal"/>
        <w:bidi w:val="0"/>
        <w:jc w:val="start"/>
        <w:rPr/>
      </w:pPr>
      <w:r>
        <w:rPr/>
      </w:r>
    </w:p>
    <w:p>
      <w:pPr>
        <w:pStyle w:val="ListParagraph"/>
        <w:numPr>
          <w:ilvl w:val="0"/>
          <w:numId w:val="112"/>
        </w:numPr>
        <w:bidi w:val="0"/>
        <w:spacing w:before="0" w:after="80"/>
        <w:jc w:val="start"/>
        <w:rPr>
          <w:rFonts w:ascii="Arial" w:hAnsi="Arial" w:eastAsia="Arial" w:cs="Arial"/>
          <w:sz w:val="22"/>
          <w:szCs w:val="22"/>
        </w:rPr>
      </w:pPr>
      <w:r>
        <w:rPr>
          <w:rFonts w:eastAsia="Arial" w:cs="Arial"/>
          <w:sz w:val="22"/>
          <w:szCs w:val="22"/>
        </w:rPr>
        <w:t>Using the Compose Email button on the Emails list view.</w:t>
      </w:r>
    </w:p>
    <w:p>
      <w:pPr>
        <w:pStyle w:val="ListParagraph"/>
        <w:numPr>
          <w:ilvl w:val="0"/>
          <w:numId w:val="113"/>
        </w:numPr>
        <w:bidi w:val="0"/>
        <w:spacing w:before="0" w:after="80"/>
        <w:jc w:val="start"/>
        <w:rPr>
          <w:rFonts w:ascii="Arial" w:hAnsi="Arial" w:eastAsia="Arial" w:cs="Arial"/>
          <w:sz w:val="22"/>
          <w:szCs w:val="22"/>
        </w:rPr>
      </w:pPr>
      <w:r>
        <w:rPr>
          <w:rFonts w:eastAsia="Arial" w:cs="Arial"/>
          <w:sz w:val="22"/>
          <w:szCs w:val="22"/>
        </w:rPr>
        <w:t>Replying to an existing email.</w:t>
      </w:r>
    </w:p>
    <w:p>
      <w:pPr>
        <w:pStyle w:val="ListParagraph"/>
        <w:numPr>
          <w:ilvl w:val="0"/>
          <w:numId w:val="114"/>
        </w:numPr>
        <w:bidi w:val="0"/>
        <w:spacing w:before="0" w:after="80"/>
        <w:jc w:val="start"/>
        <w:rPr>
          <w:rFonts w:ascii="Arial" w:hAnsi="Arial" w:eastAsia="Arial" w:cs="Arial"/>
          <w:sz w:val="22"/>
          <w:szCs w:val="22"/>
        </w:rPr>
      </w:pPr>
      <w:r>
        <w:rPr>
          <w:rFonts w:eastAsia="Arial" w:cs="Arial"/>
          <w:sz w:val="22"/>
          <w:szCs w:val="22"/>
        </w:rPr>
        <w:t>Clicking on an email address displayed on any record (such as a Contact or Account).</w:t>
      </w:r>
    </w:p>
    <w:p>
      <w:pPr>
        <w:pStyle w:val="ListParagraph"/>
        <w:numPr>
          <w:ilvl w:val="0"/>
          <w:numId w:val="115"/>
        </w:numPr>
        <w:bidi w:val="0"/>
        <w:spacing w:before="0" w:after="80"/>
        <w:jc w:val="start"/>
        <w:rPr>
          <w:rFonts w:ascii="Arial" w:hAnsi="Arial" w:eastAsia="Arial" w:cs="Arial"/>
          <w:sz w:val="22"/>
          <w:szCs w:val="22"/>
        </w:rPr>
      </w:pPr>
      <w:r>
        <w:rPr>
          <w:rFonts w:eastAsia="Arial" w:cs="Arial"/>
          <w:sz w:val="22"/>
          <w:szCs w:val="22"/>
        </w:rPr>
        <w:t>Using the Compose Email action from the Activities panel on a record's detail view.</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7.2 Email Templates</w:t>
      </w:r>
    </w:p>
    <w:p>
      <w:pPr>
        <w:pStyle w:val="Normal"/>
        <w:bidi w:val="0"/>
        <w:spacing w:before="0" w:after="120"/>
        <w:jc w:val="start"/>
        <w:rPr>
          <w:rFonts w:ascii="Arial" w:hAnsi="Arial" w:eastAsia="Arial" w:cs="Arial"/>
          <w:sz w:val="22"/>
          <w:szCs w:val="22"/>
        </w:rPr>
      </w:pPr>
      <w:r>
        <w:rPr>
          <w:rFonts w:eastAsia="Arial" w:cs="Arial"/>
          <w:sz w:val="22"/>
          <w:szCs w:val="22"/>
        </w:rPr>
        <w:t>When composing an email, users can select a pre-defined template to populate the subject and body. Templates are managed separately and can be set up by an administrator for common communication types such as welcome messages, follow-ups, or status updates.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7.3 Email Signature</w:t>
      </w:r>
    </w:p>
    <w:p>
      <w:pPr>
        <w:pStyle w:val="Normal"/>
        <w:bidi w:val="0"/>
        <w:spacing w:before="0" w:after="120"/>
        <w:jc w:val="start"/>
        <w:rPr>
          <w:rFonts w:ascii="Arial" w:hAnsi="Arial" w:eastAsia="Arial" w:cs="Arial"/>
          <w:sz w:val="22"/>
          <w:szCs w:val="22"/>
        </w:rPr>
      </w:pPr>
      <w:r>
        <w:rPr>
          <w:rFonts w:eastAsia="Arial" w:cs="Arial"/>
          <w:sz w:val="22"/>
          <w:szCs w:val="22"/>
        </w:rPr>
        <w:t>Each user can configure a personal email signature that will be automatically appended to all emails they compose. To set up a signature, go to: top-right avatar → Preferences → Email Signature.</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7.4 Scheduled Send</w:t>
      </w:r>
    </w:p>
    <w:p>
      <w:pPr>
        <w:pStyle w:val="Normal"/>
        <w:bidi w:val="0"/>
        <w:spacing w:before="0" w:after="120"/>
        <w:jc w:val="start"/>
        <w:rPr>
          <w:rFonts w:ascii="Arial" w:hAnsi="Arial" w:eastAsia="Arial" w:cs="Arial"/>
          <w:sz w:val="22"/>
          <w:szCs w:val="22"/>
        </w:rPr>
      </w:pPr>
      <w:r>
        <w:rPr>
          <w:rFonts w:eastAsia="Arial" w:cs="Arial"/>
          <w:sz w:val="22"/>
          <w:szCs w:val="22"/>
        </w:rPr>
        <w:t>When composing an email, it can be scheduled to be sent at a specific future time rather than immediately. The email is saved to Drafts and the scheduled time can be changed after saving. To schedule a send, use the dropdown menu next to the Send button when composing.</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7.5 Using an External Email Client</w:t>
      </w:r>
    </w:p>
    <w:p>
      <w:pPr>
        <w:pStyle w:val="Normal"/>
        <w:bidi w:val="0"/>
        <w:spacing w:before="0" w:after="120"/>
        <w:jc w:val="start"/>
        <w:rPr>
          <w:rFonts w:ascii="Arial" w:hAnsi="Arial" w:eastAsia="Arial" w:cs="Arial"/>
          <w:sz w:val="22"/>
          <w:szCs w:val="22"/>
        </w:rPr>
      </w:pPr>
      <w:r>
        <w:rPr>
          <w:rFonts w:eastAsia="Arial" w:cs="Arial"/>
          <w:sz w:val="22"/>
          <w:szCs w:val="22"/>
        </w:rPr>
        <w:t>If a user prefers to use their device's default email client instead of composing within EspoCRM, this can be enabled in their preferences. Go to: top-right avatar → Preferences → check Use an External Email Client.</w:t>
      </w:r>
    </w:p>
    <w:p>
      <w:pPr>
        <w:pStyle w:val="Normal"/>
        <w:bidi w:val="0"/>
        <w:jc w:val="start"/>
        <w:rPr/>
      </w:pPr>
      <w:r>
        <w:rPr/>
      </w:r>
    </w:p>
    <w:p>
      <w:pPr>
        <w:pStyle w:val="Heading2"/>
        <w:numPr>
          <w:ilvl w:val="0"/>
          <w:numId w:val="0"/>
        </w:numPr>
        <w:bidi w:val="0"/>
        <w:spacing w:before="240" w:after="120"/>
        <w:ind w:hanging="0" w:start="0"/>
        <w:jc w:val="start"/>
        <w:rPr/>
      </w:pPr>
      <w:r>
        <w:rPr>
          <w:rFonts w:eastAsia="Arial" w:cs="Arial" w:ascii="Arial" w:hAnsi="Arial"/>
          <w:b/>
          <w:bCs/>
          <w:color w:val="2E75B6"/>
          <w:sz w:val="26"/>
          <w:szCs w:val="26"/>
        </w:rPr>
        <w:t>8. Email Folders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8.1 Personal Email Folders</w:t>
      </w:r>
    </w:p>
    <w:p>
      <w:pPr>
        <w:pStyle w:val="Normal"/>
        <w:bidi w:val="0"/>
        <w:spacing w:before="0" w:after="120"/>
        <w:jc w:val="start"/>
        <w:rPr>
          <w:rFonts w:ascii="Arial" w:hAnsi="Arial" w:eastAsia="Arial" w:cs="Arial"/>
          <w:sz w:val="22"/>
          <w:szCs w:val="22"/>
        </w:rPr>
      </w:pPr>
      <w:r>
        <w:rPr>
          <w:rFonts w:eastAsia="Arial" w:cs="Arial"/>
          <w:sz w:val="22"/>
          <w:szCs w:val="22"/>
        </w:rPr>
        <w:t>Users can create their own personal Email Folders to organize emails. To create or manage personal folders, go to: Emails list view → dropdown in the top-right corner → Folders.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creating a folder, the Skip Notification option can be enabled to suppress notifications for emails that are automatically routed to that folder.</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Email folders in EspoCRM are not connected to IMAP folders. There is no two-way sync between EspoCRM folders and folders in an external email client or mail server.</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8.2 Group Email Folders</w:t>
      </w:r>
    </w:p>
    <w:p>
      <w:pPr>
        <w:pStyle w:val="Normal"/>
        <w:bidi w:val="0"/>
        <w:spacing w:before="0" w:after="120"/>
        <w:jc w:val="start"/>
        <w:rPr>
          <w:rFonts w:ascii="Arial" w:hAnsi="Arial" w:eastAsia="Arial" w:cs="Arial"/>
          <w:sz w:val="22"/>
          <w:szCs w:val="22"/>
        </w:rPr>
      </w:pPr>
      <w:r>
        <w:rPr>
          <w:rFonts w:eastAsia="Arial" w:cs="Arial"/>
          <w:sz w:val="22"/>
          <w:szCs w:val="22"/>
        </w:rPr>
        <w:t>Group Email Folders are shared folders accessible by teams. They are created by an administrator, who specifies which teams have access to each folder. Group folders appear alongside personal folders in the Emails list view for users who have access.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Key behaviors for Group Email Folders:</w:t>
      </w:r>
    </w:p>
    <w:p>
      <w:pPr>
        <w:pStyle w:val="Normal"/>
        <w:bidi w:val="0"/>
        <w:jc w:val="start"/>
        <w:rPr/>
      </w:pPr>
      <w:r>
        <w:rPr/>
      </w:r>
    </w:p>
    <w:p>
      <w:pPr>
        <w:pStyle w:val="ListParagraph"/>
        <w:numPr>
          <w:ilvl w:val="0"/>
          <w:numId w:val="116"/>
        </w:numPr>
        <w:bidi w:val="0"/>
        <w:spacing w:before="0" w:after="80"/>
        <w:jc w:val="start"/>
        <w:rPr>
          <w:rFonts w:ascii="Arial" w:hAnsi="Arial" w:eastAsia="Arial" w:cs="Arial"/>
          <w:sz w:val="22"/>
          <w:szCs w:val="22"/>
        </w:rPr>
      </w:pPr>
      <w:r>
        <w:rPr>
          <w:rFonts w:eastAsia="Arial" w:cs="Arial"/>
          <w:sz w:val="22"/>
          <w:szCs w:val="22"/>
        </w:rPr>
        <w:t>Inbound emails from a group email account can be automatically routed to a specific group folder.</w:t>
      </w:r>
    </w:p>
    <w:p>
      <w:pPr>
        <w:pStyle w:val="ListParagraph"/>
        <w:numPr>
          <w:ilvl w:val="0"/>
          <w:numId w:val="117"/>
        </w:numPr>
        <w:bidi w:val="0"/>
        <w:spacing w:before="0" w:after="80"/>
        <w:jc w:val="start"/>
        <w:rPr>
          <w:rFonts w:ascii="Arial" w:hAnsi="Arial" w:eastAsia="Arial" w:cs="Arial"/>
          <w:sz w:val="22"/>
          <w:szCs w:val="22"/>
        </w:rPr>
      </w:pPr>
      <w:r>
        <w:rPr>
          <w:rFonts w:eastAsia="Arial" w:cs="Arial"/>
          <w:sz w:val="22"/>
          <w:szCs w:val="22"/>
        </w:rPr>
        <w:t>Emails matching an email filter can be automatically moved to a group folder.</w:t>
      </w:r>
    </w:p>
    <w:p>
      <w:pPr>
        <w:pStyle w:val="ListParagraph"/>
        <w:numPr>
          <w:ilvl w:val="0"/>
          <w:numId w:val="118"/>
        </w:numPr>
        <w:bidi w:val="0"/>
        <w:spacing w:before="0" w:after="80"/>
        <w:jc w:val="start"/>
        <w:rPr>
          <w:rFonts w:ascii="Arial" w:hAnsi="Arial" w:eastAsia="Arial" w:cs="Arial"/>
          <w:sz w:val="22"/>
          <w:szCs w:val="22"/>
        </w:rPr>
      </w:pPr>
      <w:r>
        <w:rPr>
          <w:rFonts w:eastAsia="Arial" w:cs="Arial"/>
          <w:sz w:val="22"/>
          <w:szCs w:val="22"/>
        </w:rPr>
        <w:t>If an email is moved from a group folder to a personal folder or the Inbox, it is unlinked from the group folder.</w:t>
      </w:r>
    </w:p>
    <w:p>
      <w:pPr>
        <w:pStyle w:val="ListParagraph"/>
        <w:numPr>
          <w:ilvl w:val="0"/>
          <w:numId w:val="119"/>
        </w:numPr>
        <w:bidi w:val="0"/>
        <w:spacing w:before="0" w:after="80"/>
        <w:jc w:val="start"/>
        <w:rPr>
          <w:rFonts w:ascii="Arial" w:hAnsi="Arial" w:eastAsia="Arial" w:cs="Arial"/>
          <w:sz w:val="22"/>
          <w:szCs w:val="22"/>
        </w:rPr>
      </w:pPr>
      <w:r>
        <w:rPr>
          <w:rFonts w:eastAsia="Arial" w:cs="Arial"/>
          <w:sz w:val="22"/>
          <w:szCs w:val="22"/>
        </w:rPr>
        <w:t>Users can only move emails to a group folder if they have edit access to that email.</w:t>
      </w:r>
    </w:p>
    <w:p>
      <w:pPr>
        <w:pStyle w:val="ListParagraph"/>
        <w:numPr>
          <w:ilvl w:val="0"/>
          <w:numId w:val="120"/>
        </w:numPr>
        <w:bidi w:val="0"/>
        <w:spacing w:before="0" w:after="80"/>
        <w:jc w:val="start"/>
        <w:rPr>
          <w:rFonts w:ascii="Arial" w:hAnsi="Arial" w:eastAsia="Arial" w:cs="Arial"/>
          <w:sz w:val="22"/>
          <w:szCs w:val="22"/>
        </w:rPr>
      </w:pPr>
      <w:r>
        <w:rPr>
          <w:rFonts w:eastAsia="Arial" w:cs="Arial"/>
          <w:sz w:val="22"/>
          <w:szCs w:val="22"/>
        </w:rPr>
        <w:t>Field-level security in Roles can be used to restrict the ability to change the group folder field on an email.</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Group Email Folders are available as of EspoCRM v7.3.</w:t>
            </w:r>
          </w:p>
        </w:tc>
      </w:tr>
    </w:tbl>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9. Email Filters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Email filters allow emails to be automatically processed based on criteria such as sender, subject, or other fields. There are two types of email filters:</w:t>
      </w:r>
    </w:p>
    <w:p>
      <w:pPr>
        <w:pStyle w:val="Normal"/>
        <w:bidi w:val="0"/>
        <w:jc w:val="start"/>
        <w:rPr/>
      </w:pPr>
      <w:r>
        <w:rPr/>
      </w:r>
    </w:p>
    <w:p>
      <w:pPr>
        <w:pStyle w:val="ListParagraph"/>
        <w:numPr>
          <w:ilvl w:val="0"/>
          <w:numId w:val="121"/>
        </w:numPr>
        <w:bidi w:val="0"/>
        <w:spacing w:before="0" w:after="80"/>
        <w:jc w:val="start"/>
        <w:rPr>
          <w:rFonts w:ascii="Arial" w:hAnsi="Arial" w:eastAsia="Arial" w:cs="Arial"/>
          <w:sz w:val="22"/>
          <w:szCs w:val="22"/>
        </w:rPr>
      </w:pPr>
      <w:r>
        <w:rPr>
          <w:rFonts w:eastAsia="Arial" w:cs="Arial"/>
          <w:sz w:val="22"/>
          <w:szCs w:val="22"/>
        </w:rPr>
        <w:t>Skip — the email is placed in Trash or not imported at all if the filter is associated with a Personal Email Account.</w:t>
      </w:r>
    </w:p>
    <w:p>
      <w:pPr>
        <w:pStyle w:val="ListParagraph"/>
        <w:numPr>
          <w:ilvl w:val="0"/>
          <w:numId w:val="122"/>
        </w:numPr>
        <w:bidi w:val="0"/>
        <w:spacing w:before="0" w:after="80"/>
        <w:jc w:val="start"/>
        <w:rPr>
          <w:rFonts w:ascii="Arial" w:hAnsi="Arial" w:eastAsia="Arial" w:cs="Arial"/>
          <w:sz w:val="22"/>
          <w:szCs w:val="22"/>
        </w:rPr>
      </w:pPr>
      <w:r>
        <w:rPr>
          <w:rFonts w:eastAsia="Arial" w:cs="Arial"/>
          <w:sz w:val="22"/>
          <w:szCs w:val="22"/>
        </w:rPr>
        <w:t>Put in Folder — imported emails matching the filter criteria are automatically placed in a specified folder.</w:t>
      </w:r>
    </w:p>
    <w:p>
      <w:pPr>
        <w:pStyle w:val="Normal"/>
        <w:bidi w:val="0"/>
        <w:jc w:val="start"/>
        <w:rPr/>
      </w:pPr>
      <w:r>
        <w:rPr/>
      </w:r>
    </w:p>
    <w:p>
      <w:pPr>
        <w:pStyle w:val="Heading3"/>
        <w:numPr>
          <w:ilvl w:val="0"/>
          <w:numId w:val="0"/>
        </w:numPr>
        <w:bidi w:val="0"/>
        <w:spacing w:before="180" w:after="80"/>
        <w:ind w:hanging="0" w:start="0"/>
        <w:jc w:val="start"/>
        <w:rPr/>
      </w:pPr>
      <w:r>
        <w:rPr>
          <w:rFonts w:eastAsia="Arial" w:cs="Arial" w:ascii="Arial" w:hAnsi="Arial"/>
          <w:b/>
          <w:bCs/>
          <w:color w:val="595959"/>
          <w:sz w:val="24"/>
          <w:szCs w:val="24"/>
        </w:rPr>
        <w:t>9.1 Global Email Filters</w:t>
      </w:r>
    </w:p>
    <w:p>
      <w:pPr>
        <w:pStyle w:val="Normal"/>
        <w:bidi w:val="0"/>
        <w:spacing w:before="0" w:after="120"/>
        <w:jc w:val="start"/>
        <w:rPr>
          <w:rFonts w:ascii="Arial" w:hAnsi="Arial" w:eastAsia="Arial" w:cs="Arial"/>
          <w:sz w:val="22"/>
          <w:szCs w:val="22"/>
        </w:rPr>
      </w:pPr>
      <w:r>
        <w:rPr>
          <w:rFonts w:eastAsia="Arial" w:cs="Arial"/>
          <w:sz w:val="22"/>
          <w:szCs w:val="22"/>
        </w:rPr>
        <w:t>Administrators can create global email filters that apply system-wide to skip undesirable emails. These are managed at: Admin → Email Filters.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9.2 Personal Email Filters</w:t>
      </w:r>
    </w:p>
    <w:p>
      <w:pPr>
        <w:pStyle w:val="Normal"/>
        <w:bidi w:val="0"/>
        <w:spacing w:before="0" w:after="120"/>
        <w:jc w:val="start"/>
        <w:rPr>
          <w:rFonts w:ascii="Arial" w:hAnsi="Arial" w:eastAsia="Arial" w:cs="Arial"/>
          <w:sz w:val="22"/>
          <w:szCs w:val="22"/>
        </w:rPr>
      </w:pPr>
      <w:r>
        <w:rPr>
          <w:rFonts w:eastAsia="Arial" w:cs="Arial"/>
          <w:sz w:val="22"/>
          <w:szCs w:val="22"/>
        </w:rPr>
        <w:t>Regular users can create their own email filters that apply to their Personal Email Accounts or their entire inbox. These are managed at: Emails → dropdown in the top-right corner → Filters.</w:t>
      </w:r>
    </w:p>
    <w:p>
      <w:pPr>
        <w:pStyle w:val="Normal"/>
        <w:bidi w:val="0"/>
        <w:jc w:val="start"/>
        <w:rPr/>
      </w:pPr>
      <w:r>
        <w:rPr/>
      </w:r>
    </w:p>
    <w:p>
      <w:pPr>
        <w:pStyle w:val="Heading1"/>
        <w:bidi w:val="0"/>
        <w:ind w:hanging="0" w:start="0"/>
        <w:jc w:val="start"/>
        <w:rPr>
          <w:rFonts w:ascii="Arial" w:hAnsi="Arial" w:eastAsia="Arial" w:cs="Arial"/>
          <w:b/>
          <w:bCs/>
          <w:color w:val="2E75B6"/>
          <w:sz w:val="32"/>
          <w:szCs w:val="32"/>
        </w:rPr>
      </w:pPr>
      <w:r>
        <w:rPr>
          <w:rFonts w:eastAsia="Arial" w:cs="Arial" w:ascii="Arial" w:hAnsi="Arial"/>
          <w:b/>
          <w:bCs/>
          <w:color w:val="2E75B6"/>
          <w:sz w:val="32"/>
          <w:szCs w:val="32"/>
        </w:rPr>
        <w:t>Lists and Filter Configuration</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This section will document how to create and manage filtered list views in EspoCRM, including system-level saved searches available to all users and views that dynamically filter by the current logged-in user.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Topics planned for this section — pending research:</w:t>
      </w:r>
    </w:p>
    <w:p>
      <w:pPr>
        <w:pStyle w:val="ListParagraph"/>
        <w:numPr>
          <w:ilvl w:val="0"/>
          <w:numId w:val="123"/>
        </w:numPr>
        <w:bidi w:val="0"/>
        <w:spacing w:before="0" w:after="80"/>
        <w:jc w:val="start"/>
        <w:rPr>
          <w:rFonts w:ascii="Arial" w:hAnsi="Arial" w:eastAsia="Arial" w:cs="Arial"/>
          <w:sz w:val="22"/>
          <w:szCs w:val="22"/>
        </w:rPr>
      </w:pPr>
      <w:r>
        <w:rPr>
          <w:rFonts w:eastAsia="Arial" w:cs="Arial"/>
          <w:sz w:val="22"/>
          <w:szCs w:val="22"/>
        </w:rPr>
        <w:t>5. Creating a My Engagements view — a filtered list showing only engagements where the current user is the Assigned Mentor</w:t>
      </w:r>
    </w:p>
    <w:p>
      <w:pPr>
        <w:pStyle w:val="ListParagraph"/>
        <w:numPr>
          <w:ilvl w:val="0"/>
          <w:numId w:val="124"/>
        </w:numPr>
        <w:bidi w:val="0"/>
        <w:spacing w:before="0" w:after="80"/>
        <w:jc w:val="start"/>
        <w:rPr>
          <w:rFonts w:ascii="Arial" w:hAnsi="Arial" w:eastAsia="Arial" w:cs="Arial"/>
          <w:sz w:val="22"/>
          <w:szCs w:val="22"/>
        </w:rPr>
      </w:pPr>
      <w:r>
        <w:rPr>
          <w:rFonts w:eastAsia="Arial" w:cs="Arial"/>
          <w:sz w:val="22"/>
          <w:szCs w:val="22"/>
        </w:rPr>
        <w:t>6. Creating system-level saved searches — making a saved filter available to all users, not just the creator</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See the Questions for Research section for the open questions that need to be resolved before these topics can be fully documented.</w:t>
            </w:r>
          </w:p>
        </w:tc>
      </w:tr>
    </w:tbl>
    <w:p>
      <w:pPr>
        <w:pStyle w:val="Normal"/>
        <w:bidi w:val="0"/>
        <w:jc w:val="start"/>
        <w:rPr/>
      </w:pPr>
      <w:r>
        <w:rPr/>
      </w:r>
    </w:p>
    <w:p>
      <w:pPr>
        <w:pStyle w:val="Heading1"/>
        <w:bidi w:val="0"/>
        <w:ind w:hanging="0" w:start="0"/>
        <w:jc w:val="start"/>
        <w:rPr>
          <w:rFonts w:ascii="Arial" w:hAnsi="Arial" w:eastAsia="Arial" w:cs="Arial"/>
          <w:b/>
          <w:bCs/>
          <w:color w:val="2E75B6"/>
          <w:sz w:val="32"/>
          <w:szCs w:val="32"/>
        </w:rPr>
      </w:pPr>
      <w:r>
        <w:rPr/>
      </w:r>
      <w:r>
        <w:br w:type="page"/>
      </w:r>
    </w:p>
    <w:p>
      <w:pPr>
        <w:pStyle w:val="Heading1"/>
        <w:bidi w:val="0"/>
        <w:ind w:hanging="0" w:start="0"/>
        <w:jc w:val="start"/>
        <w:rPr>
          <w:rFonts w:ascii="Arial" w:hAnsi="Arial" w:eastAsia="Arial" w:cs="Arial"/>
          <w:b/>
          <w:bCs/>
          <w:color w:val="2E75B6"/>
          <w:sz w:val="32"/>
          <w:szCs w:val="32"/>
        </w:rPr>
      </w:pPr>
      <w:r>
        <w:rPr>
          <w:rFonts w:eastAsia="Arial" w:cs="Arial" w:ascii="Arial" w:hAnsi="Arial"/>
          <w:b/>
          <w:bCs/>
          <w:color w:val="2E75B6"/>
          <w:sz w:val="32"/>
          <w:szCs w:val="32"/>
        </w:rPr>
        <w:t>Security Configuration</w:t>
      </w:r>
    </w:p>
    <w:p>
      <w:pPr>
        <w:pStyle w:val="Normal"/>
        <w:bidi w:val="0"/>
        <w:jc w:val="start"/>
        <w:rPr/>
      </w:pPr>
      <w:r>
        <w:rPr/>
      </w:r>
    </w:p>
    <w:p>
      <w:pPr>
        <w:pStyle w:val="Heading2"/>
        <w:bidi w:val="0"/>
        <w:spacing w:before="240" w:after="120"/>
        <w:ind w:hanging="0" w:start="0"/>
        <w:jc w:val="start"/>
        <w:rPr/>
      </w:pPr>
      <w:r>
        <w:rPr>
          <w:rFonts w:eastAsia="Arial" w:cs="Arial" w:ascii="Arial" w:hAnsi="Arial"/>
          <w:b/>
          <w:bCs/>
          <w:color w:val="2E75B6"/>
          <w:sz w:val="26"/>
          <w:szCs w:val="26"/>
        </w:rPr>
        <w:t>12. EspoCRM Security Concepts</w:t>
      </w:r>
    </w:p>
    <w:p>
      <w:pPr>
        <w:pStyle w:val="Normal"/>
        <w:bidi w:val="0"/>
        <w:spacing w:before="0" w:after="120"/>
        <w:jc w:val="start"/>
        <w:rPr>
          <w:rFonts w:ascii="Arial" w:hAnsi="Arial" w:eastAsia="Arial" w:cs="Arial"/>
          <w:sz w:val="22"/>
          <w:szCs w:val="22"/>
        </w:rPr>
      </w:pPr>
      <w:r>
        <w:rPr>
          <w:rFonts w:eastAsia="Arial" w:cs="Arial"/>
          <w:sz w:val="22"/>
          <w:szCs w:val="22"/>
        </w:rPr>
        <w:t>This section explains how EspoCRM’s access control system works in general terms, independent of any particular implementation. The concepts here apply to every EspoCRM deployment and are prerequisites for understanding the CBM-specific configuration in Section 13.</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12.1 Overview</w:t>
      </w:r>
    </w:p>
    <w:p>
      <w:pPr>
        <w:pStyle w:val="Normal"/>
        <w:bidi w:val="0"/>
        <w:spacing w:before="0" w:after="120"/>
        <w:jc w:val="start"/>
        <w:rPr>
          <w:rFonts w:ascii="Arial" w:hAnsi="Arial" w:eastAsia="Arial" w:cs="Arial"/>
          <w:sz w:val="22"/>
          <w:szCs w:val="22"/>
        </w:rPr>
      </w:pPr>
      <w:r>
        <w:rPr>
          <w:rFonts w:eastAsia="Arial" w:cs="Arial"/>
          <w:sz w:val="22"/>
          <w:szCs w:val="22"/>
        </w:rPr>
        <w:t>EspoCRM security answers one question, repeatedly: can this user perform this action on this record? Four inputs determine the answer — who the user is, what teams they belong to, what roles they have, and what data is on the record itself (assignedUser, teams, and field values).</w:t>
      </w:r>
    </w:p>
    <w:p>
      <w:pPr>
        <w:pStyle w:val="Normal"/>
        <w:bidi w:val="0"/>
        <w:spacing w:before="0" w:after="120"/>
        <w:jc w:val="start"/>
        <w:rPr>
          <w:rFonts w:ascii="Arial" w:hAnsi="Arial" w:eastAsia="Arial" w:cs="Arial"/>
          <w:sz w:val="22"/>
          <w:szCs w:val="22"/>
        </w:rPr>
      </w:pPr>
      <w:r>
        <w:rPr>
          <w:rFonts w:eastAsia="Arial" w:cs="Arial"/>
          <w:sz w:val="22"/>
          <w:szCs w:val="22"/>
        </w:rPr>
        <w:t>One escape hatch is worth noting up front: System Administrators bypass all access control. When testing permissions, never test as admin — you will see everything regardless of how the role configuration is set. Always test with a regular user account, ideally in an incognito browser window.</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12.2 The Three Building Blocks: Users, Teams, Roles</w:t>
      </w:r>
    </w:p>
    <w:p>
      <w:pPr>
        <w:pStyle w:val="Normal"/>
        <w:bidi w:val="0"/>
        <w:spacing w:before="0" w:after="120"/>
        <w:jc w:val="start"/>
        <w:rPr>
          <w:rFonts w:ascii="Arial" w:hAnsi="Arial" w:eastAsia="Arial" w:cs="Arial"/>
          <w:sz w:val="22"/>
          <w:szCs w:val="22"/>
        </w:rPr>
      </w:pPr>
      <w:r>
        <w:rPr>
          <w:rFonts w:eastAsia="Arial" w:cs="Arial"/>
          <w:sz w:val="22"/>
          <w:szCs w:val="22"/>
        </w:rPr>
        <w:t>EspoCRM access control is built from three primitives that interact:</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Users </w:t>
      </w:r>
      <w:r>
        <w:rPr>
          <w:rFonts w:eastAsia="Arial" w:cs="Arial"/>
          <w:sz w:val="22"/>
          <w:szCs w:val="22"/>
        </w:rPr>
        <w:t>are individual accounts. Each user has a primary team, optional additional teams, a default assigned user (usually themselves), and one or more roles. Users can also have a default team set — any record they create is automatically stamped with those teams.</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Teams </w:t>
      </w:r>
      <w:r>
        <w:rPr>
          <w:rFonts w:eastAsia="Arial" w:cs="Arial"/>
          <w:sz w:val="22"/>
          <w:szCs w:val="22"/>
        </w:rPr>
        <w:t>are groupings of users. They serve two purposes: record-level access keys off of team membership, and roles can be attached to teams so every member inherits those roles. A user can belong to many teams, and a record can be assigned to many teams.</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Roles </w:t>
      </w:r>
      <w:r>
        <w:rPr>
          <w:rFonts w:eastAsia="Arial" w:cs="Arial"/>
          <w:sz w:val="22"/>
          <w:szCs w:val="22"/>
        </w:rPr>
        <w:t>are the permission definitions. A role is essentially a matrix: for each entity (Contact, Account, Meeting, your custom entities), what actions are allowed and at what level.</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12.3 The Action × Level Matrix</w:t>
      </w:r>
    </w:p>
    <w:p>
      <w:pPr>
        <w:pStyle w:val="Normal"/>
        <w:bidi w:val="0"/>
        <w:spacing w:before="0" w:after="120"/>
        <w:jc w:val="start"/>
        <w:rPr>
          <w:rFonts w:ascii="Arial" w:hAnsi="Arial" w:eastAsia="Arial" w:cs="Arial"/>
          <w:sz w:val="22"/>
          <w:szCs w:val="22"/>
        </w:rPr>
      </w:pPr>
      <w:r>
        <w:rPr>
          <w:rFonts w:eastAsia="Arial" w:cs="Arial"/>
          <w:sz w:val="22"/>
          <w:szCs w:val="22"/>
        </w:rPr>
        <w:t>For every entity, a role defines five actions: Create, Read, Edit, Delete, and Stream. Create is binary (yes/no). The other four each take one of four levels:</w:t>
      </w:r>
    </w:p>
    <w:tbl>
      <w:tblPr>
        <w:tblW w:w="9360" w:type="dxa"/>
        <w:jc w:val="start"/>
        <w:tblInd w:w="0" w:type="dxa"/>
        <w:tblLayout w:type="fixed"/>
        <w:tblCellMar>
          <w:top w:w="80" w:type="dxa"/>
          <w:start w:w="160" w:type="dxa"/>
          <w:bottom w:w="80" w:type="dxa"/>
          <w:end w:w="160" w:type="dxa"/>
        </w:tblCellMar>
      </w:tblPr>
      <w:tblGrid>
        <w:gridCol w:w="1500"/>
        <w:gridCol w:w="7859"/>
      </w:tblGrid>
      <w:tr>
        <w:trPr/>
        <w:tc>
          <w:tcPr>
            <w:tcW w:w="15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Level</w:t>
            </w:r>
          </w:p>
        </w:tc>
        <w:tc>
          <w:tcPr>
            <w:tcW w:w="785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What It Means</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All</w:t>
            </w:r>
          </w:p>
        </w:tc>
        <w:tc>
          <w:tcPr>
            <w:tcW w:w="78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Any record of this entity, regardless of team or ownership.</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Team</w:t>
            </w:r>
          </w:p>
        </w:tc>
        <w:tc>
          <w:tcPr>
            <w:tcW w:w="78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Only records where the user shares at least one team with the record.</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Own</w:t>
            </w:r>
          </w:p>
        </w:tc>
        <w:tc>
          <w:tcPr>
            <w:tcW w:w="78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Only records where the user is the assignedUser (or in assignedUsers if Multiple Assigned Users is enabled).</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c>
          <w:tcPr>
            <w:tcW w:w="78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Never.</w:t>
            </w:r>
          </w:p>
        </w:tc>
      </w:tr>
    </w:tbl>
    <w:p>
      <w:pPr>
        <w:pStyle w:val="Normal"/>
        <w:bidi w:val="0"/>
        <w:spacing w:before="0" w:after="120"/>
        <w:jc w:val="start"/>
        <w:rPr>
          <w:rFonts w:ascii="Arial" w:hAnsi="Arial" w:eastAsia="Arial" w:cs="Arial"/>
          <w:sz w:val="22"/>
          <w:szCs w:val="22"/>
        </w:rPr>
      </w:pPr>
      <w:r>
        <w:rPr>
          <w:rFonts w:eastAsia="Arial" w:cs="Arial"/>
          <w:sz w:val="22"/>
          <w:szCs w:val="22"/>
        </w:rPr>
        <w:t>Example: Read=Team, Edit=Own on the Contact entity means “I can see every Contact in my team’s pipeline, but I can only edit Contacts assigned to me.”</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12.4 Field Level Security</w:t>
      </w:r>
    </w:p>
    <w:p>
      <w:pPr>
        <w:pStyle w:val="Normal"/>
        <w:bidi w:val="0"/>
        <w:spacing w:before="0" w:after="120"/>
        <w:jc w:val="start"/>
        <w:rPr>
          <w:rFonts w:ascii="Arial" w:hAnsi="Arial" w:eastAsia="Arial" w:cs="Arial"/>
          <w:sz w:val="22"/>
          <w:szCs w:val="22"/>
        </w:rPr>
      </w:pPr>
      <w:r>
        <w:rPr>
          <w:rFonts w:eastAsia="Arial" w:cs="Arial"/>
          <w:sz w:val="22"/>
          <w:szCs w:val="22"/>
        </w:rPr>
        <w:t>Beneath the entity-level matrix, you can lock down individual fields within an entity, independently for read and edit. Everyone might be able to read a Contact, but only managers see the salaryExpectation field. Field-level rules can only further restrict what the entity-level matrix already permits — they can never grant access that the entity-level denies.</w:t>
      </w:r>
    </w:p>
    <w:p>
      <w:pPr>
        <w:pStyle w:val="Normal"/>
        <w:bidi w:val="0"/>
        <w:spacing w:before="0" w:after="120"/>
        <w:jc w:val="start"/>
        <w:rPr>
          <w:rFonts w:ascii="Arial" w:hAnsi="Arial" w:eastAsia="Arial" w:cs="Arial"/>
          <w:sz w:val="22"/>
          <w:szCs w:val="22"/>
        </w:rPr>
      </w:pPr>
      <w:r>
        <w:rPr>
          <w:rFonts w:eastAsia="Arial" w:cs="Arial"/>
          <w:sz w:val="22"/>
          <w:szCs w:val="22"/>
        </w:rPr>
        <w:t>Field-level security applies to link fields too — the field that represents a relationship between two entities. Hiding a link field for a role makes the corresponding related-record panel invisible on the detail view. This is the mechanism used to hide sensitive relationship panels, described in Section 12.9.</w:t>
      </w:r>
    </w:p>
    <w:p>
      <w:pPr>
        <w:pStyle w:val="Normal"/>
        <w:bidi w:val="0"/>
        <w:spacing w:before="0" w:after="120"/>
        <w:jc w:val="start"/>
        <w:rPr>
          <w:rFonts w:ascii="Arial" w:hAnsi="Arial" w:eastAsia="Arial" w:cs="Arial"/>
          <w:sz w:val="22"/>
          <w:szCs w:val="22"/>
        </w:rPr>
      </w:pPr>
      <w:r>
        <w:rPr>
          <w:rFonts w:eastAsia="Arial" w:cs="Arial"/>
          <w:sz w:val="22"/>
          <w:szCs w:val="22"/>
        </w:rPr>
        <w:t>Important limitation: field-level security is per-role, not per-record. You cannot configure “User X sees the bankBalance field on Acme but not on Beta.” If per-record field control is needed, the workaround is to split the sensitive fields into a separate entity — see Section 12.10.</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12.5 Assignment Permission</w:t>
      </w:r>
    </w:p>
    <w:p>
      <w:pPr>
        <w:pStyle w:val="Normal"/>
        <w:bidi w:val="0"/>
        <w:spacing w:before="0" w:after="120"/>
        <w:jc w:val="start"/>
        <w:rPr>
          <w:rFonts w:ascii="Arial" w:hAnsi="Arial" w:eastAsia="Arial" w:cs="Arial"/>
          <w:sz w:val="22"/>
          <w:szCs w:val="22"/>
        </w:rPr>
      </w:pPr>
      <w:r>
        <w:rPr>
          <w:rFonts w:eastAsia="Arial" w:cs="Arial"/>
          <w:sz w:val="22"/>
          <w:szCs w:val="22"/>
        </w:rPr>
        <w:t>Assignment Permission is a system-level permission in the Permissions section of a Role (separate from the entity scope matrix and field-level rules). It controls who the user can set as assignedUser, assignedUsers, teams, or collaborators on any record. It has three levels:</w:t>
      </w:r>
    </w:p>
    <w:tbl>
      <w:tblPr>
        <w:tblW w:w="9360" w:type="dxa"/>
        <w:jc w:val="start"/>
        <w:tblInd w:w="0" w:type="dxa"/>
        <w:tblLayout w:type="fixed"/>
        <w:tblCellMar>
          <w:top w:w="80" w:type="dxa"/>
          <w:start w:w="160" w:type="dxa"/>
          <w:bottom w:w="80" w:type="dxa"/>
          <w:end w:w="160" w:type="dxa"/>
        </w:tblCellMar>
      </w:tblPr>
      <w:tblGrid>
        <w:gridCol w:w="1500"/>
        <w:gridCol w:w="7859"/>
      </w:tblGrid>
      <w:tr>
        <w:trPr/>
        <w:tc>
          <w:tcPr>
            <w:tcW w:w="15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Level</w:t>
            </w:r>
          </w:p>
        </w:tc>
        <w:tc>
          <w:tcPr>
            <w:tcW w:w="785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Effect</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c>
          <w:tcPr>
            <w:tcW w:w="78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The user cannot modify any field that controls record ownership or access. They can edit the data fields of a record but the assignedUser/assignedUsers/teams/collaborators fields appear read-only.</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Team</w:t>
            </w:r>
          </w:p>
        </w:tc>
        <w:tc>
          <w:tcPr>
            <w:tcW w:w="78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The user can only assign to other users who share at least one team with them.</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All</w:t>
            </w:r>
          </w:p>
        </w:tc>
        <w:tc>
          <w:tcPr>
            <w:tcW w:w="78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The user can freely modify ownership/access fields, assigning to any user.</w:t>
            </w:r>
          </w:p>
        </w:tc>
      </w:tr>
    </w:tbl>
    <w:p>
      <w:pPr>
        <w:pStyle w:val="Normal"/>
        <w:bidi w:val="0"/>
        <w:spacing w:before="0" w:after="120"/>
        <w:jc w:val="start"/>
        <w:rPr>
          <w:rFonts w:ascii="Arial" w:hAnsi="Arial" w:eastAsia="Arial" w:cs="Arial"/>
          <w:sz w:val="22"/>
          <w:szCs w:val="22"/>
        </w:rPr>
      </w:pPr>
      <w:r>
        <w:rPr>
          <w:rFonts w:eastAsia="Arial" w:cs="Arial"/>
          <w:sz w:val="22"/>
          <w:szCs w:val="22"/>
        </w:rPr>
        <w:t>Assignment Permission is enforced separately from regular Edit access. A user can have Edit=Own on a record — meaning they can change the data fields — without being able to touch the assignedUsers or teams fields. This is the safeguard that prevents an ordinary user from quietly reassigning ownership or granting access to others.</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12.6 Multiple Assigned Users vs Collaborators</w:t>
      </w:r>
    </w:p>
    <w:p>
      <w:pPr>
        <w:pStyle w:val="Normal"/>
        <w:bidi w:val="0"/>
        <w:spacing w:before="0" w:after="120"/>
        <w:jc w:val="start"/>
        <w:rPr>
          <w:rFonts w:ascii="Arial" w:hAnsi="Arial" w:eastAsia="Arial" w:cs="Arial"/>
          <w:sz w:val="22"/>
          <w:szCs w:val="22"/>
        </w:rPr>
      </w:pPr>
      <w:r>
        <w:rPr>
          <w:rFonts w:eastAsia="Arial" w:cs="Arial"/>
          <w:sz w:val="22"/>
          <w:szCs w:val="22"/>
        </w:rPr>
        <w:t>By default an EspoCRM record has a single assignedUser. Two optional features change this:</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Multiple Assigned Users </w:t>
      </w:r>
      <w:r>
        <w:rPr>
          <w:rFonts w:eastAsia="Arial" w:cs="Arial"/>
          <w:sz w:val="22"/>
          <w:szCs w:val="22"/>
        </w:rPr>
        <w:t>— enabled per-entity in Entity Manager. Replaces the single assignedUser field with an assignedUsers link-multiple field. Every user in the list has Own-level access (both Read and Edit, governed by the role’s Own settings). Use this when several users need full edit access to the same record.</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Collaborators </w:t>
      </w:r>
      <w:r>
        <w:rPr>
          <w:rFonts w:eastAsia="Arial" w:cs="Arial"/>
          <w:sz w:val="22"/>
          <w:szCs w:val="22"/>
        </w:rPr>
        <w:t>— also enabled per-entity in Entity Manager. Creates a link-multiple field called Collaborators. Users added as collaborators get read and stream access (not edit) to the record, provided their role permits anything other than No. The creator of a record and the current assigned user are auto-added as collaborators. Adding a user as a collaborator requires Assignment Permission and Edit access to the record. Portal users cannot be added as collaborators.</w:t>
      </w:r>
    </w:p>
    <w:p>
      <w:pPr>
        <w:pStyle w:val="Normal"/>
        <w:bidi w:val="0"/>
        <w:spacing w:before="0" w:after="120"/>
        <w:jc w:val="start"/>
        <w:rPr>
          <w:rFonts w:ascii="Arial" w:hAnsi="Arial" w:eastAsia="Arial" w:cs="Arial"/>
          <w:sz w:val="22"/>
          <w:szCs w:val="22"/>
        </w:rPr>
      </w:pPr>
      <w:r>
        <w:rPr>
          <w:rFonts w:eastAsia="Arial" w:cs="Arial"/>
          <w:sz w:val="22"/>
          <w:szCs w:val="22"/>
        </w:rPr>
        <w:t>When the authorized users need to edit the record, choose Multiple Assigned Users. When they only need to view it, Collaborators is lighter. After enabling either feature, the field must be added to the entity’s side panel layout (Administration &gt; Entity Manager &gt; {Entity} &gt; Layouts &gt; Side Panel Fields) before it becomes visible.</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12.7 Role Merging</w:t>
      </w:r>
    </w:p>
    <w:p>
      <w:pPr>
        <w:pStyle w:val="Normal"/>
        <w:bidi w:val="0"/>
        <w:spacing w:before="0" w:after="120"/>
        <w:jc w:val="start"/>
        <w:rPr>
          <w:rFonts w:ascii="Arial" w:hAnsi="Arial" w:eastAsia="Arial" w:cs="Arial"/>
          <w:sz w:val="22"/>
          <w:szCs w:val="22"/>
        </w:rPr>
      </w:pPr>
      <w:r>
        <w:rPr>
          <w:rFonts w:eastAsia="Arial" w:cs="Arial"/>
          <w:sz w:val="22"/>
          <w:szCs w:val="22"/>
        </w:rPr>
        <w:t>A user can have multiple roles, assigned directly through their User record or inherited through Team membership. When a user has multiple roles, EspoCRM merges them by taking the most permissive level for each setting. If one role says Read=Own and another says Read=All, the user ends up with Read=All. Roles are additive, not restrictive.</w:t>
      </w:r>
    </w:p>
    <w:p>
      <w:pPr>
        <w:pStyle w:val="Normal"/>
        <w:bidi w:val="0"/>
        <w:spacing w:before="0" w:after="120"/>
        <w:jc w:val="start"/>
        <w:rPr>
          <w:rFonts w:ascii="Arial" w:hAnsi="Arial" w:eastAsia="Arial" w:cs="Arial"/>
          <w:sz w:val="22"/>
          <w:szCs w:val="22"/>
        </w:rPr>
      </w:pPr>
      <w:r>
        <w:rPr>
          <w:rFonts w:eastAsia="Arial" w:cs="Arial"/>
          <w:sz w:val="22"/>
          <w:szCs w:val="22"/>
        </w:rPr>
        <w:t>This rule matters: you cannot use a second role to subtract permissions that a first role granted. To withhold access from a subset of users, configure their primary role to withhold it and selectively layer a second role on those who should have it.</w:t>
      </w:r>
    </w:p>
    <w:p>
      <w:pPr>
        <w:pStyle w:val="Normal"/>
        <w:bidi w:val="0"/>
        <w:spacing w:before="0" w:after="120"/>
        <w:jc w:val="start"/>
        <w:rPr>
          <w:rFonts w:ascii="Arial" w:hAnsi="Arial" w:eastAsia="Arial" w:cs="Arial"/>
          <w:sz w:val="22"/>
          <w:szCs w:val="22"/>
        </w:rPr>
      </w:pPr>
      <w:r>
        <w:rPr>
          <w:rFonts w:eastAsia="Arial" w:cs="Arial"/>
          <w:sz w:val="22"/>
          <w:szCs w:val="22"/>
        </w:rPr>
        <w:t>To check what permissions a specific user has, open their User record and click the Access button — EspoCRM shows the merged effective permissions.</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12.8 Roles via Team Attachment vs Direct Assignment</w:t>
      </w:r>
    </w:p>
    <w:p>
      <w:pPr>
        <w:pStyle w:val="Normal"/>
        <w:bidi w:val="0"/>
        <w:spacing w:before="0" w:after="120"/>
        <w:jc w:val="start"/>
        <w:rPr>
          <w:rFonts w:ascii="Arial" w:hAnsi="Arial" w:eastAsia="Arial" w:cs="Arial"/>
          <w:sz w:val="22"/>
          <w:szCs w:val="22"/>
        </w:rPr>
      </w:pPr>
      <w:r>
        <w:rPr>
          <w:rFonts w:eastAsia="Arial" w:cs="Arial"/>
          <w:sz w:val="22"/>
          <w:szCs w:val="22"/>
        </w:rPr>
        <w:t>Roles can be assigned to users in two ways:</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Direct: </w:t>
      </w:r>
      <w:r>
        <w:rPr>
          <w:rFonts w:eastAsia="Arial" w:cs="Arial"/>
          <w:sz w:val="22"/>
          <w:szCs w:val="22"/>
        </w:rPr>
        <w:t>Administration &gt; Users &gt; select user &gt; Roles field &gt; add the role. The user gets the role regardless of team membership.</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Via team attachment: </w:t>
      </w:r>
      <w:r>
        <w:rPr>
          <w:rFonts w:eastAsia="Arial" w:cs="Arial"/>
          <w:sz w:val="22"/>
          <w:szCs w:val="22"/>
        </w:rPr>
        <w:t>Administration &gt; Teams &gt; select team &gt; Roles field &gt; add the role. Every user in that team automatically inherits the role. Add or remove a user from the team and their role membership follows.</w:t>
      </w:r>
    </w:p>
    <w:p>
      <w:pPr>
        <w:pStyle w:val="Normal"/>
        <w:bidi w:val="0"/>
        <w:spacing w:before="0" w:after="120"/>
        <w:jc w:val="start"/>
        <w:rPr>
          <w:rFonts w:ascii="Arial" w:hAnsi="Arial" w:eastAsia="Arial" w:cs="Arial"/>
          <w:sz w:val="22"/>
          <w:szCs w:val="22"/>
        </w:rPr>
      </w:pPr>
      <w:r>
        <w:rPr>
          <w:rFonts w:eastAsia="Arial" w:cs="Arial"/>
          <w:sz w:val="22"/>
          <w:szCs w:val="22"/>
        </w:rPr>
        <w:t>Team-attached roles are usually cleaner for groups of users who share a function (“Mentors,” “Data Integrity Team,” “Sponsor Coordinators”). Membership management lives in one place: add a person to the team and they get the role; remove them and they lose it. Direct role assignment is appropriate for unique grants that don’t correspond to a group identity (e.g., one specific user who is a Coordinator).</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12.9 Hiding Relationship Panels Using Field-Level Security</w:t>
      </w:r>
    </w:p>
    <w:p>
      <w:pPr>
        <w:pStyle w:val="Normal"/>
        <w:bidi w:val="0"/>
        <w:spacing w:before="0" w:after="120"/>
        <w:jc w:val="start"/>
        <w:rPr>
          <w:rFonts w:ascii="Arial" w:hAnsi="Arial" w:eastAsia="Arial" w:cs="Arial"/>
          <w:sz w:val="22"/>
          <w:szCs w:val="22"/>
        </w:rPr>
      </w:pPr>
      <w:r>
        <w:rPr>
          <w:rFonts w:eastAsia="Arial" w:cs="Arial"/>
          <w:sz w:val="22"/>
          <w:szCs w:val="22"/>
        </w:rPr>
        <w:t>When two entities are linked through a relationship, EspoCRM creates link fields on both sides. These link fields appear as related-record panels on the detail view. Because link fields are subject to field-level security like any other field, setting field-level read access to No on a link field hides the panel entirely for that role.</w:t>
      </w:r>
    </w:p>
    <w:p>
      <w:pPr>
        <w:pStyle w:val="Normal"/>
        <w:bidi w:val="0"/>
        <w:spacing w:before="0" w:after="120"/>
        <w:jc w:val="start"/>
        <w:rPr>
          <w:rFonts w:ascii="Arial" w:hAnsi="Arial" w:eastAsia="Arial" w:cs="Arial"/>
          <w:sz w:val="22"/>
          <w:szCs w:val="22"/>
        </w:rPr>
      </w:pPr>
      <w:r>
        <w:rPr>
          <w:rFonts w:eastAsia="Arial" w:cs="Arial"/>
          <w:sz w:val="22"/>
          <w:szCs w:val="22"/>
        </w:rPr>
        <w:t>When the link field is hidden for a role, the related-records panel does not render on the detail view, the field is omitted from API responses, and it does not appear in search or filter pickers. The user sees no trace that a related record could exist. This is the central trick for hiding sensitive related-record panels from users who should not even know the related data exists.</w:t>
      </w:r>
    </w:p>
    <w:p>
      <w:pPr>
        <w:pStyle w:val="Normal"/>
        <w:bidi w:val="0"/>
        <w:spacing w:before="0" w:after="120"/>
        <w:jc w:val="start"/>
        <w:rPr>
          <w:rFonts w:ascii="Arial" w:hAnsi="Arial" w:eastAsia="Arial" w:cs="Arial"/>
          <w:sz w:val="22"/>
          <w:szCs w:val="22"/>
        </w:rPr>
      </w:pPr>
      <w:r>
        <w:rPr>
          <w:rFonts w:eastAsia="Arial" w:cs="Arial"/>
          <w:sz w:val="22"/>
          <w:szCs w:val="22"/>
        </w:rPr>
        <w:t>To configure: open the role, scroll to Field Level Permissions, click the plus icon next to the entity that owns the link field, select the link field from the dropdown, and set Read=No and Edit=No.</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12.10 The Sensitive Sub-Entity Pattern</w:t>
      </w:r>
    </w:p>
    <w:p>
      <w:pPr>
        <w:pStyle w:val="Normal"/>
        <w:bidi w:val="0"/>
        <w:spacing w:before="0" w:after="120"/>
        <w:jc w:val="start"/>
        <w:rPr>
          <w:rFonts w:ascii="Arial" w:hAnsi="Arial" w:eastAsia="Arial" w:cs="Arial"/>
          <w:sz w:val="22"/>
          <w:szCs w:val="22"/>
        </w:rPr>
      </w:pPr>
      <w:r>
        <w:rPr>
          <w:rFonts w:eastAsia="Arial" w:cs="Arial"/>
          <w:sz w:val="22"/>
          <w:szCs w:val="22"/>
        </w:rPr>
        <w:t>This is a reusable design pattern for a specific challenge: a small subset of records contain sensitive data that should be visible only to a specific list of users, where the authorized list varies per record. EspoCRM’s field-level security cannot do per-record restrictions, so the pattern works around the limitation by splitting the sensitive data into a separate entity:</w:t>
      </w:r>
    </w:p>
    <w:p>
      <w:pPr>
        <w:pStyle w:val="ListParagraph"/>
        <w:numPr>
          <w:ilvl w:val="0"/>
          <w:numId w:val="1"/>
        </w:numPr>
        <w:bidi w:val="0"/>
        <w:spacing w:before="0" w:after="60"/>
        <w:ind w:hanging="360" w:start="720"/>
        <w:jc w:val="start"/>
        <w:rPr>
          <w:rFonts w:ascii="Arial" w:hAnsi="Arial" w:eastAsia="Arial" w:cs="Arial"/>
          <w:sz w:val="22"/>
          <w:szCs w:val="22"/>
        </w:rPr>
      </w:pPr>
      <w:r>
        <w:rPr>
          <w:rFonts w:eastAsia="Arial" w:cs="Arial"/>
          <w:sz w:val="22"/>
          <w:szCs w:val="22"/>
        </w:rPr>
        <w:t>Step 1: Create a separate entity (e.g., ClientProfile) to hold the sensitive data, linked one-to-one to the parent entity.</w:t>
      </w:r>
    </w:p>
    <w:p>
      <w:pPr>
        <w:pStyle w:val="ListParagraph"/>
        <w:numPr>
          <w:ilvl w:val="0"/>
          <w:numId w:val="1"/>
        </w:numPr>
        <w:bidi w:val="0"/>
        <w:spacing w:before="0" w:after="60"/>
        <w:ind w:hanging="360" w:start="720"/>
        <w:jc w:val="start"/>
        <w:rPr>
          <w:rFonts w:ascii="Arial" w:hAnsi="Arial" w:eastAsia="Arial" w:cs="Arial"/>
          <w:sz w:val="22"/>
          <w:szCs w:val="22"/>
        </w:rPr>
      </w:pPr>
      <w:r>
        <w:rPr>
          <w:rFonts w:eastAsia="Arial" w:cs="Arial"/>
          <w:sz w:val="22"/>
          <w:szCs w:val="22"/>
        </w:rPr>
        <w:t>Step 2: Enable Multiple Assigned Users (or Collaborators) on the sensitive entity, so the per-record authorized list can be expressed.</w:t>
      </w:r>
    </w:p>
    <w:p>
      <w:pPr>
        <w:pStyle w:val="ListParagraph"/>
        <w:numPr>
          <w:ilvl w:val="0"/>
          <w:numId w:val="1"/>
        </w:numPr>
        <w:bidi w:val="0"/>
        <w:spacing w:before="0" w:after="60"/>
        <w:ind w:hanging="360" w:start="720"/>
        <w:jc w:val="start"/>
        <w:rPr>
          <w:rFonts w:ascii="Arial" w:hAnsi="Arial" w:eastAsia="Arial" w:cs="Arial"/>
          <w:sz w:val="22"/>
          <w:szCs w:val="22"/>
        </w:rPr>
      </w:pPr>
      <w:r>
        <w:rPr>
          <w:rFonts w:eastAsia="Arial" w:cs="Arial"/>
          <w:sz w:val="22"/>
          <w:szCs w:val="22"/>
        </w:rPr>
        <w:t>Step 3: Create a baseline “Standard User” role that has the sensitive entity disabled in the scope matrix, and field-level read=No on the link field from the parent entity to the sensitive entity. This hides both the entity and the related-records panel for users without sensitive-data access.</w:t>
      </w:r>
    </w:p>
    <w:p>
      <w:pPr>
        <w:pStyle w:val="ListParagraph"/>
        <w:numPr>
          <w:ilvl w:val="0"/>
          <w:numId w:val="1"/>
        </w:numPr>
        <w:bidi w:val="0"/>
        <w:spacing w:before="0" w:after="60"/>
        <w:ind w:hanging="360" w:start="720"/>
        <w:jc w:val="start"/>
        <w:rPr>
          <w:rFonts w:ascii="Arial" w:hAnsi="Arial" w:eastAsia="Arial" w:cs="Arial"/>
          <w:sz w:val="22"/>
          <w:szCs w:val="22"/>
        </w:rPr>
      </w:pPr>
      <w:r>
        <w:rPr>
          <w:rFonts w:eastAsia="Arial" w:cs="Arial"/>
          <w:sz w:val="22"/>
          <w:szCs w:val="22"/>
        </w:rPr>
        <w:t>Step 4: Create an “Authorized” role that adds scope Read=Own and Edit=Own on the sensitive entity, and unhides the link field at field level. Layer this role on top of Standard User for users who can be granted access to one or more sensitive records.</w:t>
      </w:r>
    </w:p>
    <w:p>
      <w:pPr>
        <w:pStyle w:val="ListParagraph"/>
        <w:numPr>
          <w:ilvl w:val="0"/>
          <w:numId w:val="1"/>
        </w:numPr>
        <w:bidi w:val="0"/>
        <w:spacing w:before="0" w:after="60"/>
        <w:ind w:hanging="360" w:start="720"/>
        <w:jc w:val="start"/>
        <w:rPr>
          <w:rFonts w:ascii="Arial" w:hAnsi="Arial" w:eastAsia="Arial" w:cs="Arial"/>
          <w:sz w:val="22"/>
          <w:szCs w:val="22"/>
        </w:rPr>
      </w:pPr>
      <w:r>
        <w:rPr>
          <w:rFonts w:eastAsia="Arial" w:cs="Arial"/>
          <w:sz w:val="22"/>
          <w:szCs w:val="22"/>
        </w:rPr>
        <w:t>Step 5: Optionally create a “Coordinator” role with scope Read=All and Edit=All on the sensitive entity, plus Assignment Permission=All. Coordinators administer the sensitive records and decide who else gets access by editing the assignedUsers field.</w:t>
      </w:r>
    </w:p>
    <w:p>
      <w:pPr>
        <w:pStyle w:val="Normal"/>
        <w:bidi w:val="0"/>
        <w:spacing w:before="0" w:after="120"/>
        <w:jc w:val="start"/>
        <w:rPr>
          <w:rFonts w:ascii="Arial" w:hAnsi="Arial" w:eastAsia="Arial" w:cs="Arial"/>
          <w:sz w:val="22"/>
          <w:szCs w:val="22"/>
        </w:rPr>
      </w:pPr>
      <w:r>
        <w:rPr>
          <w:rFonts w:eastAsia="Arial" w:cs="Arial"/>
          <w:sz w:val="22"/>
          <w:szCs w:val="22"/>
        </w:rPr>
        <w:t>The pattern is reusable for any case requiring per-record dynamic access lists. CBM uses it three times in parallel for its three sensitive sub-entities; see Section 13.</w:t>
      </w:r>
    </w:p>
    <w:p>
      <w:pPr>
        <w:pStyle w:val="Heading2"/>
        <w:bidi w:val="0"/>
        <w:spacing w:before="240" w:after="120"/>
        <w:ind w:hanging="0" w:start="0"/>
        <w:jc w:val="start"/>
        <w:rPr/>
      </w:pPr>
      <w:r>
        <w:rPr>
          <w:rFonts w:eastAsia="Arial" w:cs="Arial" w:ascii="Arial" w:hAnsi="Arial"/>
          <w:b/>
          <w:bCs/>
          <w:color w:val="2E75B6"/>
          <w:sz w:val="26"/>
          <w:szCs w:val="26"/>
        </w:rPr>
        <w:t>13. CBM Security Implementation</w:t>
      </w:r>
    </w:p>
    <w:p>
      <w:pPr>
        <w:pStyle w:val="Normal"/>
        <w:bidi w:val="0"/>
        <w:spacing w:before="0" w:after="120"/>
        <w:jc w:val="start"/>
        <w:rPr>
          <w:rFonts w:ascii="Arial" w:hAnsi="Arial" w:eastAsia="Arial" w:cs="Arial"/>
          <w:sz w:val="22"/>
          <w:szCs w:val="22"/>
        </w:rPr>
      </w:pPr>
      <w:r>
        <w:rPr>
          <w:rFonts w:eastAsia="Arial" w:cs="Arial"/>
          <w:sz w:val="22"/>
          <w:szCs w:val="22"/>
        </w:rPr>
        <w:t>This section documents the specific security configuration CBM uses, built on the concepts in Section 12. It is the consolidated specification that future administrators should consult when adding users, defining new sensitive entities, or troubleshooting access issues.</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13.1 Architecture Summary</w:t>
      </w:r>
    </w:p>
    <w:p>
      <w:pPr>
        <w:pStyle w:val="Normal"/>
        <w:bidi w:val="0"/>
        <w:spacing w:before="0" w:after="120"/>
        <w:jc w:val="start"/>
        <w:rPr>
          <w:rFonts w:ascii="Arial" w:hAnsi="Arial" w:eastAsia="Arial" w:cs="Arial"/>
          <w:sz w:val="22"/>
          <w:szCs w:val="22"/>
        </w:rPr>
      </w:pPr>
      <w:r>
        <w:rPr>
          <w:rFonts w:eastAsia="Arial" w:cs="Arial"/>
          <w:sz w:val="22"/>
          <w:szCs w:val="22"/>
        </w:rPr>
        <w:t>One Company entity is universally visible to all users. Three sensitive sub-entities (ClientProfile, SponsorProfile, PartnerProfile) hold restricted data, each linked one-to-one to Company. Each sensitive sub-entity is hidden by default through field-level security on its corresponding link field on Company, and visible only to users on the corresponding access team.</w:t>
      </w:r>
    </w:p>
    <w:p>
      <w:pPr>
        <w:pStyle w:val="Normal"/>
        <w:bidi w:val="0"/>
        <w:spacing w:before="0" w:after="120"/>
        <w:jc w:val="start"/>
        <w:rPr>
          <w:rFonts w:ascii="Arial" w:hAnsi="Arial" w:eastAsia="Arial" w:cs="Arial"/>
          <w:sz w:val="22"/>
          <w:szCs w:val="22"/>
        </w:rPr>
      </w:pPr>
      <w:r>
        <w:rPr>
          <w:rFonts w:eastAsia="Arial" w:cs="Arial"/>
          <w:sz w:val="22"/>
          <w:szCs w:val="22"/>
        </w:rPr>
        <w:t>Per-team users get automatic ownership-derived access to sensitive records for Companies they own — a workflow rule synchronizes the Company.assignedUser into the sensitive record’s assignedUsers field. They can also transfer access among their peers via team-scoped Assignment Permission. Per-type Coordinators administer their respective sensitive entities. A Data Integrity team handles Company-level data quality. The Admin role retains universal access.</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13.2 Entity Setup</w:t>
      </w:r>
    </w:p>
    <w:p>
      <w:pPr>
        <w:pStyle w:val="Normal"/>
        <w:bidi w:val="0"/>
        <w:spacing w:before="0" w:after="120"/>
        <w:jc w:val="start"/>
        <w:rPr>
          <w:rFonts w:ascii="Arial" w:hAnsi="Arial" w:eastAsia="Arial" w:cs="Arial"/>
          <w:sz w:val="22"/>
          <w:szCs w:val="22"/>
        </w:rPr>
      </w:pPr>
      <w:r>
        <w:rPr>
          <w:rFonts w:eastAsia="Arial" w:cs="Arial"/>
          <w:sz w:val="22"/>
          <w:szCs w:val="22"/>
        </w:rPr>
        <w:t>The Company entity (extension of the native Account entity) is the parent. Three sensitive sub-entities are linked to it:</w:t>
      </w:r>
    </w:p>
    <w:tbl>
      <w:tblPr>
        <w:tblW w:w="9360" w:type="dxa"/>
        <w:jc w:val="start"/>
        <w:tblInd w:w="0" w:type="dxa"/>
        <w:tblLayout w:type="fixed"/>
        <w:tblCellMar>
          <w:top w:w="80" w:type="dxa"/>
          <w:start w:w="160" w:type="dxa"/>
          <w:bottom w:w="80" w:type="dxa"/>
          <w:end w:w="160" w:type="dxa"/>
        </w:tblCellMar>
      </w:tblPr>
      <w:tblGrid>
        <w:gridCol w:w="2399"/>
        <w:gridCol w:w="3961"/>
        <w:gridCol w:w="3000"/>
      </w:tblGrid>
      <w:tr>
        <w:trPr/>
        <w:tc>
          <w:tcPr>
            <w:tcW w:w="23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Sensitive Entity</w:t>
            </w:r>
          </w:p>
        </w:tc>
        <w:tc>
          <w:tcPr>
            <w:tcW w:w="396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Link Field on Company</w:t>
            </w:r>
          </w:p>
        </w:tc>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Multiple Assigned Users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ClientProfile</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clientProfile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Enabled</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SponsorProfile</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sponsorProfile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Enabled</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PartnerProfile</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partnerProfile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Enabled</w:t>
            </w:r>
          </w:p>
        </w:tc>
      </w:tr>
    </w:tbl>
    <w:p>
      <w:pPr>
        <w:pStyle w:val="Normal"/>
        <w:bidi w:val="0"/>
        <w:spacing w:before="0" w:after="120"/>
        <w:jc w:val="start"/>
        <w:rPr>
          <w:rFonts w:ascii="Arial" w:hAnsi="Arial" w:eastAsia="Arial" w:cs="Arial"/>
          <w:sz w:val="22"/>
          <w:szCs w:val="22"/>
        </w:rPr>
      </w:pPr>
      <w:r>
        <w:rPr>
          <w:rFonts w:eastAsia="Arial" w:cs="Arial"/>
          <w:sz w:val="22"/>
          <w:szCs w:val="22"/>
        </w:rPr>
        <w:t>Each relationship is configured as One-to-One Right with Company as the parent side. Multiple Assigned Users is enabled on all three sensitive entities so that the per-record authorized list can hold multiple users — all of whom get Own-level access.</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13.3 Teams</w:t>
      </w:r>
    </w:p>
    <w:p>
      <w:pPr>
        <w:pStyle w:val="Normal"/>
        <w:bidi w:val="0"/>
        <w:spacing w:before="0" w:after="120"/>
        <w:jc w:val="start"/>
        <w:rPr>
          <w:rFonts w:ascii="Arial" w:hAnsi="Arial" w:eastAsia="Arial" w:cs="Arial"/>
          <w:sz w:val="22"/>
          <w:szCs w:val="22"/>
        </w:rPr>
      </w:pPr>
      <w:r>
        <w:rPr>
          <w:rFonts w:eastAsia="Arial" w:cs="Arial"/>
          <w:sz w:val="22"/>
          <w:szCs w:val="22"/>
        </w:rPr>
        <w:t>Four teams structure the access pools. Each access team has a role attached so that membership automatically grants the corresponding role:</w:t>
      </w:r>
    </w:p>
    <w:tbl>
      <w:tblPr>
        <w:tblW w:w="9360" w:type="dxa"/>
        <w:jc w:val="start"/>
        <w:tblInd w:w="0" w:type="dxa"/>
        <w:tblLayout w:type="fixed"/>
        <w:tblCellMar>
          <w:top w:w="80" w:type="dxa"/>
          <w:start w:w="160" w:type="dxa"/>
          <w:bottom w:w="80" w:type="dxa"/>
          <w:end w:w="160" w:type="dxa"/>
        </w:tblCellMar>
      </w:tblPr>
      <w:tblGrid>
        <w:gridCol w:w="2399"/>
        <w:gridCol w:w="3000"/>
        <w:gridCol w:w="3961"/>
      </w:tblGrid>
      <w:tr>
        <w:trPr/>
        <w:tc>
          <w:tcPr>
            <w:tcW w:w="23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Team</w:t>
            </w:r>
          </w:p>
        </w:tc>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Role Attached to Team</w:t>
            </w:r>
          </w:p>
        </w:tc>
        <w:tc>
          <w:tcPr>
            <w:tcW w:w="396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Purpose</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Mentors</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 Sensitive Authorized</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Users who can be granted access to ClientProfile records (typically as mentors of Client Companies).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Sponsor Coordinators</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Sponsor Sensitive Authorized</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Users who manage sponsor relationships and need access to SponsorProfile records.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Partner Managers</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Partner Sensitive Authorized</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Users who manage partner relationships and need access to PartnerProfile records.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Data Integrity Team</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Data Integrity</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Users who can edit any Company record for data quality purposes.</w:t>
            </w:r>
          </w:p>
        </w:tc>
      </w:tr>
    </w:tbl>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13.4 Standard User Role</w:t>
      </w:r>
    </w:p>
    <w:p>
      <w:pPr>
        <w:pStyle w:val="Normal"/>
        <w:bidi w:val="0"/>
        <w:spacing w:before="0" w:after="120"/>
        <w:jc w:val="start"/>
        <w:rPr>
          <w:rFonts w:ascii="Arial" w:hAnsi="Arial" w:eastAsia="Arial" w:cs="Arial"/>
          <w:sz w:val="22"/>
          <w:szCs w:val="22"/>
        </w:rPr>
      </w:pPr>
      <w:r>
        <w:rPr>
          <w:rFonts w:eastAsia="Arial" w:cs="Arial"/>
          <w:sz w:val="22"/>
          <w:szCs w:val="22"/>
        </w:rPr>
        <w:t>Every user is assigned this role. It provides baseline access to Company records and completely hides all three sensitive entities.</w:t>
      </w:r>
    </w:p>
    <w:p>
      <w:pPr>
        <w:pStyle w:val="Normal"/>
        <w:bidi w:val="0"/>
        <w:spacing w:before="0" w:after="120"/>
        <w:jc w:val="start"/>
        <w:rPr>
          <w:rFonts w:ascii="Arial" w:hAnsi="Arial" w:eastAsia="Arial" w:cs="Arial"/>
          <w:sz w:val="22"/>
          <w:szCs w:val="22"/>
        </w:rPr>
      </w:pPr>
      <w:r>
        <w:rPr>
          <w:rFonts w:eastAsia="Arial" w:cs="Arial"/>
          <w:b/>
          <w:bCs/>
          <w:sz w:val="22"/>
          <w:szCs w:val="22"/>
        </w:rPr>
        <w:t>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199"/>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Delete</w:t>
            </w:r>
          </w:p>
        </w:tc>
        <w:tc>
          <w:tcPr>
            <w:tcW w:w="11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Company</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yes</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Own</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All</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disabled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SponsorProfile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disabled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PartnerProfile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disabled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r>
    </w:tbl>
    <w:p>
      <w:pPr>
        <w:pStyle w:val="Normal"/>
        <w:bidi w:val="0"/>
        <w:spacing w:before="0" w:after="120"/>
        <w:jc w:val="start"/>
        <w:rPr>
          <w:rFonts w:ascii="Arial" w:hAnsi="Arial" w:eastAsia="Arial" w:cs="Arial"/>
          <w:sz w:val="22"/>
          <w:szCs w:val="22"/>
        </w:rPr>
      </w:pPr>
      <w:r>
        <w:rPr>
          <w:rFonts w:eastAsia="Arial" w:cs="Arial"/>
          <w:b/>
          <w:bCs/>
          <w:sz w:val="22"/>
          <w:szCs w:val="22"/>
        </w:rPr>
        <w:t>Field Level Permissions on Company:</w:t>
      </w:r>
    </w:p>
    <w:tbl>
      <w:tblPr>
        <w:tblW w:w="9360" w:type="dxa"/>
        <w:jc w:val="start"/>
        <w:tblInd w:w="0" w:type="dxa"/>
        <w:tblLayout w:type="fixed"/>
        <w:tblCellMar>
          <w:top w:w="80" w:type="dxa"/>
          <w:start w:w="160" w:type="dxa"/>
          <w:bottom w:w="80" w:type="dxa"/>
          <w:end w:w="160" w:type="dxa"/>
        </w:tblCellMar>
      </w:tblPr>
      <w:tblGrid>
        <w:gridCol w:w="4799"/>
        <w:gridCol w:w="2280"/>
        <w:gridCol w:w="2281"/>
      </w:tblGrid>
      <w:tr>
        <w:trPr/>
        <w:tc>
          <w:tcPr>
            <w:tcW w:w="47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Read</w:t>
            </w:r>
          </w:p>
        </w:tc>
        <w:tc>
          <w:tcPr>
            <w:tcW w:w="22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Edit</w:t>
            </w:r>
          </w:p>
        </w:tc>
      </w:tr>
      <w:tr>
        <w:trPr/>
        <w:tc>
          <w:tcPr>
            <w:tcW w:w="4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c>
          <w:tcPr>
            <w:tcW w:w="22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r>
      <w:tr>
        <w:trPr/>
        <w:tc>
          <w:tcPr>
            <w:tcW w:w="4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sponsorProfile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c>
          <w:tcPr>
            <w:tcW w:w="22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r>
      <w:tr>
        <w:trPr/>
        <w:tc>
          <w:tcPr>
            <w:tcW w:w="4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partnerProfile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c>
          <w:tcPr>
            <w:tcW w:w="22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r>
    </w:tbl>
    <w:p>
      <w:pPr>
        <w:pStyle w:val="Normal"/>
        <w:bidi w:val="0"/>
        <w:spacing w:before="0" w:after="120"/>
        <w:jc w:val="start"/>
        <w:rPr>
          <w:rFonts w:ascii="Arial" w:hAnsi="Arial" w:eastAsia="Arial" w:cs="Arial"/>
          <w:sz w:val="22"/>
          <w:szCs w:val="22"/>
        </w:rPr>
      </w:pPr>
      <w:r>
        <w:rPr>
          <w:rFonts w:eastAsia="Arial" w:cs="Arial"/>
          <w:b/>
          <w:bCs/>
          <w:sz w:val="22"/>
          <w:szCs w:val="22"/>
        </w:rPr>
        <w:t xml:space="preserve">Permissions: </w:t>
      </w:r>
      <w:r>
        <w:rPr>
          <w:rFonts w:eastAsia="Arial" w:cs="Arial"/>
          <w:sz w:val="22"/>
          <w:szCs w:val="22"/>
        </w:rPr>
        <w:t>Assignment Permission = No.</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13.5 Sensitive Authorized Roles</w:t>
      </w:r>
    </w:p>
    <w:p>
      <w:pPr>
        <w:pStyle w:val="Normal"/>
        <w:bidi w:val="0"/>
        <w:spacing w:before="0" w:after="120"/>
        <w:jc w:val="start"/>
        <w:rPr>
          <w:rFonts w:ascii="Arial" w:hAnsi="Arial" w:eastAsia="Arial" w:cs="Arial"/>
          <w:sz w:val="22"/>
          <w:szCs w:val="22"/>
        </w:rPr>
      </w:pPr>
      <w:r>
        <w:rPr>
          <w:rFonts w:eastAsia="Arial" w:cs="Arial"/>
          <w:sz w:val="22"/>
          <w:szCs w:val="22"/>
        </w:rPr>
        <w:t>Three parallel roles, one per sensitive entity. Each is attached to the corresponding access team so that adding a user to the team grants the role automatically. Each role grants Read=Own and Edit=Own on its specific sensitive entity, and unhides the corresponding link field on Company.</w:t>
      </w:r>
    </w:p>
    <w:p>
      <w:pPr>
        <w:pStyle w:val="Normal"/>
        <w:bidi w:val="0"/>
        <w:spacing w:before="0" w:after="120"/>
        <w:jc w:val="start"/>
        <w:rPr>
          <w:rFonts w:ascii="Arial" w:hAnsi="Arial" w:eastAsia="Arial" w:cs="Arial"/>
          <w:sz w:val="22"/>
          <w:szCs w:val="22"/>
        </w:rPr>
      </w:pPr>
      <w:r>
        <w:rPr>
          <w:rFonts w:eastAsia="Arial" w:cs="Arial"/>
          <w:sz w:val="22"/>
          <w:szCs w:val="22"/>
        </w:rPr>
        <w:t>The three roles are structurally identical, differing only in which sensitive entity they target. The Client Sensitive Authorized role configuration is shown below; Sponsor Sensitive Authorized and Partner Sensitive Authorized are configured the same way, substituting SponsorProfile / sponsorProfile and PartnerProfile / partnerProfile respectively.</w:t>
      </w:r>
    </w:p>
    <w:p>
      <w:pPr>
        <w:pStyle w:val="Normal"/>
        <w:bidi w:val="0"/>
        <w:spacing w:before="0" w:after="120"/>
        <w:jc w:val="start"/>
        <w:rPr>
          <w:rFonts w:ascii="Arial" w:hAnsi="Arial" w:eastAsia="Arial" w:cs="Arial"/>
          <w:sz w:val="22"/>
          <w:szCs w:val="22"/>
        </w:rPr>
      </w:pPr>
      <w:r>
        <w:rPr>
          <w:rFonts w:eastAsia="Arial" w:cs="Arial"/>
          <w:b/>
          <w:bCs/>
          <w:sz w:val="22"/>
          <w:szCs w:val="22"/>
        </w:rPr>
        <w:t>Client Sensitive Authorized — 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199"/>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Delete</w:t>
            </w:r>
          </w:p>
        </w:tc>
        <w:tc>
          <w:tcPr>
            <w:tcW w:w="11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Own</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Own</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w:t>
            </w:r>
          </w:p>
        </w:tc>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Own</w:t>
            </w:r>
          </w:p>
        </w:tc>
      </w:tr>
    </w:tbl>
    <w:p>
      <w:pPr>
        <w:pStyle w:val="Normal"/>
        <w:bidi w:val="0"/>
        <w:spacing w:before="0" w:after="120"/>
        <w:jc w:val="start"/>
        <w:rPr>
          <w:rFonts w:ascii="Arial" w:hAnsi="Arial" w:eastAsia="Arial" w:cs="Arial"/>
          <w:sz w:val="22"/>
          <w:szCs w:val="22"/>
        </w:rPr>
      </w:pPr>
      <w:r>
        <w:rPr>
          <w:rFonts w:eastAsia="Arial" w:cs="Arial"/>
          <w:b/>
          <w:bCs/>
          <w:sz w:val="22"/>
          <w:szCs w:val="22"/>
        </w:rPr>
        <w:t>Field Level Permissions on Company:</w:t>
      </w:r>
    </w:p>
    <w:tbl>
      <w:tblPr>
        <w:tblW w:w="9360" w:type="dxa"/>
        <w:jc w:val="start"/>
        <w:tblInd w:w="0" w:type="dxa"/>
        <w:tblLayout w:type="fixed"/>
        <w:tblCellMar>
          <w:top w:w="80" w:type="dxa"/>
          <w:start w:w="160" w:type="dxa"/>
          <w:bottom w:w="80" w:type="dxa"/>
          <w:end w:w="160" w:type="dxa"/>
        </w:tblCellMar>
      </w:tblPr>
      <w:tblGrid>
        <w:gridCol w:w="4799"/>
        <w:gridCol w:w="2280"/>
        <w:gridCol w:w="2281"/>
      </w:tblGrid>
      <w:tr>
        <w:trPr/>
        <w:tc>
          <w:tcPr>
            <w:tcW w:w="47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Read</w:t>
            </w:r>
          </w:p>
        </w:tc>
        <w:tc>
          <w:tcPr>
            <w:tcW w:w="22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Edit</w:t>
            </w:r>
          </w:p>
        </w:tc>
      </w:tr>
      <w:tr>
        <w:trPr/>
        <w:tc>
          <w:tcPr>
            <w:tcW w:w="4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Yes</w:t>
            </w:r>
          </w:p>
        </w:tc>
        <w:tc>
          <w:tcPr>
            <w:tcW w:w="22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t>
            </w:r>
          </w:p>
        </w:tc>
      </w:tr>
    </w:tbl>
    <w:p>
      <w:pPr>
        <w:pStyle w:val="Normal"/>
        <w:bidi w:val="0"/>
        <w:spacing w:before="0" w:after="120"/>
        <w:jc w:val="start"/>
        <w:rPr>
          <w:rFonts w:ascii="Arial" w:hAnsi="Arial" w:eastAsia="Arial" w:cs="Arial"/>
          <w:sz w:val="22"/>
          <w:szCs w:val="22"/>
        </w:rPr>
      </w:pPr>
      <w:r>
        <w:rPr>
          <w:rFonts w:eastAsia="Arial" w:cs="Arial"/>
          <w:b/>
          <w:bCs/>
          <w:sz w:val="22"/>
          <w:szCs w:val="22"/>
        </w:rPr>
        <w:t xml:space="preserve">Permissions: </w:t>
      </w:r>
      <w:r>
        <w:rPr>
          <w:rFonts w:eastAsia="Arial" w:cs="Arial"/>
          <w:sz w:val="22"/>
          <w:szCs w:val="22"/>
        </w:rPr>
        <w:t>Assignment Permission = Team. This allows team members to add or remove fellow team members from the assignedUsers field of a ClientProfile, enabling peer-to-peer handoff without Coordinator involvement.</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13.6 Sensitive Coordinator Roles</w:t>
      </w:r>
    </w:p>
    <w:p>
      <w:pPr>
        <w:pStyle w:val="Normal"/>
        <w:bidi w:val="0"/>
        <w:spacing w:before="0" w:after="120"/>
        <w:jc w:val="start"/>
        <w:rPr>
          <w:rFonts w:ascii="Arial" w:hAnsi="Arial" w:eastAsia="Arial" w:cs="Arial"/>
          <w:sz w:val="22"/>
          <w:szCs w:val="22"/>
        </w:rPr>
      </w:pPr>
      <w:r>
        <w:rPr>
          <w:rFonts w:eastAsia="Arial" w:cs="Arial"/>
          <w:sz w:val="22"/>
          <w:szCs w:val="22"/>
        </w:rPr>
        <w:t>Three parallel coordinator roles, one per sensitive entity. Assigned directly to users via their User record (not through team attachment, because the coordinators are a small group with elevated privileges and team semantics don’t apply). The Master Coordinator function — access to all sensitive entities — is served by the Admin role, not a separate Master Coordinator role.</w:t>
      </w:r>
    </w:p>
    <w:p>
      <w:pPr>
        <w:pStyle w:val="Normal"/>
        <w:bidi w:val="0"/>
        <w:spacing w:before="0" w:after="120"/>
        <w:jc w:val="start"/>
        <w:rPr>
          <w:rFonts w:ascii="Arial" w:hAnsi="Arial" w:eastAsia="Arial" w:cs="Arial"/>
          <w:sz w:val="22"/>
          <w:szCs w:val="22"/>
        </w:rPr>
      </w:pPr>
      <w:r>
        <w:rPr>
          <w:rFonts w:eastAsia="Arial" w:cs="Arial"/>
          <w:sz w:val="22"/>
          <w:szCs w:val="22"/>
        </w:rPr>
        <w:t>Client Sensitive Coordinator configuration is shown below; Sponsor and Partner Coordinator roles follow the same pattern for their respective entities.</w:t>
      </w:r>
    </w:p>
    <w:p>
      <w:pPr>
        <w:pStyle w:val="Normal"/>
        <w:bidi w:val="0"/>
        <w:spacing w:before="0" w:after="120"/>
        <w:jc w:val="start"/>
        <w:rPr>
          <w:rFonts w:ascii="Arial" w:hAnsi="Arial" w:eastAsia="Arial" w:cs="Arial"/>
          <w:sz w:val="22"/>
          <w:szCs w:val="22"/>
        </w:rPr>
      </w:pPr>
      <w:r>
        <w:rPr>
          <w:rFonts w:eastAsia="Arial" w:cs="Arial"/>
          <w:b/>
          <w:bCs/>
          <w:sz w:val="22"/>
          <w:szCs w:val="22"/>
        </w:rPr>
        <w:t>Client Sensitive Coordinator — 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199"/>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Delete</w:t>
            </w:r>
          </w:p>
        </w:tc>
        <w:tc>
          <w:tcPr>
            <w:tcW w:w="11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yes</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All</w:t>
            </w:r>
          </w:p>
        </w:tc>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All</w:t>
            </w:r>
          </w:p>
        </w:tc>
      </w:tr>
    </w:tbl>
    <w:p>
      <w:pPr>
        <w:pStyle w:val="Normal"/>
        <w:bidi w:val="0"/>
        <w:spacing w:before="0" w:after="120"/>
        <w:jc w:val="start"/>
        <w:rPr>
          <w:rFonts w:ascii="Arial" w:hAnsi="Arial" w:eastAsia="Arial" w:cs="Arial"/>
          <w:sz w:val="22"/>
          <w:szCs w:val="22"/>
        </w:rPr>
      </w:pPr>
      <w:r>
        <w:rPr>
          <w:rFonts w:eastAsia="Arial" w:cs="Arial"/>
          <w:b/>
          <w:bCs/>
          <w:sz w:val="22"/>
          <w:szCs w:val="22"/>
        </w:rPr>
        <w:t>Field Level Permissions on Company:</w:t>
      </w:r>
    </w:p>
    <w:tbl>
      <w:tblPr>
        <w:tblW w:w="9360" w:type="dxa"/>
        <w:jc w:val="start"/>
        <w:tblInd w:w="0" w:type="dxa"/>
        <w:tblLayout w:type="fixed"/>
        <w:tblCellMar>
          <w:top w:w="80" w:type="dxa"/>
          <w:start w:w="160" w:type="dxa"/>
          <w:bottom w:w="80" w:type="dxa"/>
          <w:end w:w="160" w:type="dxa"/>
        </w:tblCellMar>
      </w:tblPr>
      <w:tblGrid>
        <w:gridCol w:w="4799"/>
        <w:gridCol w:w="2280"/>
        <w:gridCol w:w="2281"/>
      </w:tblGrid>
      <w:tr>
        <w:trPr/>
        <w:tc>
          <w:tcPr>
            <w:tcW w:w="47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Read</w:t>
            </w:r>
          </w:p>
        </w:tc>
        <w:tc>
          <w:tcPr>
            <w:tcW w:w="22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Edit</w:t>
            </w:r>
          </w:p>
        </w:tc>
      </w:tr>
      <w:tr>
        <w:trPr/>
        <w:tc>
          <w:tcPr>
            <w:tcW w:w="4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Yes</w:t>
            </w:r>
          </w:p>
        </w:tc>
        <w:tc>
          <w:tcPr>
            <w:tcW w:w="22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Yes</w:t>
            </w:r>
          </w:p>
        </w:tc>
      </w:tr>
    </w:tbl>
    <w:p>
      <w:pPr>
        <w:pStyle w:val="Normal"/>
        <w:bidi w:val="0"/>
        <w:spacing w:before="0" w:after="120"/>
        <w:jc w:val="start"/>
        <w:rPr>
          <w:rFonts w:ascii="Arial" w:hAnsi="Arial" w:eastAsia="Arial" w:cs="Arial"/>
          <w:sz w:val="22"/>
          <w:szCs w:val="22"/>
        </w:rPr>
      </w:pPr>
      <w:r>
        <w:rPr>
          <w:rFonts w:eastAsia="Arial" w:cs="Arial"/>
          <w:b/>
          <w:bCs/>
          <w:sz w:val="22"/>
          <w:szCs w:val="22"/>
        </w:rPr>
        <w:t xml:space="preserve">Permissions: </w:t>
      </w:r>
      <w:r>
        <w:rPr>
          <w:rFonts w:eastAsia="Arial" w:cs="Arial"/>
          <w:sz w:val="22"/>
          <w:szCs w:val="22"/>
        </w:rPr>
        <w:t>Assignment Permission = All. Required so the Coordinator can modify the assignedUsers field on any ClientProfile to grant or revoke access for specific users.</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13.7 Data Integrity Role</w:t>
      </w:r>
    </w:p>
    <w:p>
      <w:pPr>
        <w:pStyle w:val="Normal"/>
        <w:bidi w:val="0"/>
        <w:spacing w:before="0" w:after="120"/>
        <w:jc w:val="start"/>
        <w:rPr>
          <w:rFonts w:ascii="Arial" w:hAnsi="Arial" w:eastAsia="Arial" w:cs="Arial"/>
          <w:sz w:val="22"/>
          <w:szCs w:val="22"/>
        </w:rPr>
      </w:pPr>
      <w:r>
        <w:rPr>
          <w:rFonts w:eastAsia="Arial" w:cs="Arial"/>
          <w:sz w:val="22"/>
          <w:szCs w:val="22"/>
        </w:rPr>
        <w:t>Attached to the Data Integrity Team. Provides Edit=All on Company so that members can correct errors anywhere in the Company directory. The role does not grant access to any sensitive entity; team members who also need sensitive access must additionally hold the relevant Sensitive Authorized or Coordinator roles.</w:t>
      </w:r>
    </w:p>
    <w:p>
      <w:pPr>
        <w:pStyle w:val="Normal"/>
        <w:bidi w:val="0"/>
        <w:spacing w:before="0" w:after="120"/>
        <w:jc w:val="start"/>
        <w:rPr>
          <w:rFonts w:ascii="Arial" w:hAnsi="Arial" w:eastAsia="Arial" w:cs="Arial"/>
          <w:sz w:val="22"/>
          <w:szCs w:val="22"/>
        </w:rPr>
      </w:pPr>
      <w:r>
        <w:rPr>
          <w:rFonts w:eastAsia="Arial" w:cs="Arial"/>
          <w:b/>
          <w:bCs/>
          <w:sz w:val="22"/>
          <w:szCs w:val="22"/>
        </w:rPr>
        <w:t>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199"/>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Delete</w:t>
            </w:r>
          </w:p>
        </w:tc>
        <w:tc>
          <w:tcPr>
            <w:tcW w:w="11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Company</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not-set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not-set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not-set</w:t>
            </w:r>
          </w:p>
        </w:tc>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not-set</w:t>
            </w:r>
          </w:p>
        </w:tc>
      </w:tr>
    </w:tbl>
    <w:p>
      <w:pPr>
        <w:pStyle w:val="Normal"/>
        <w:bidi w:val="0"/>
        <w:spacing w:before="0" w:after="120"/>
        <w:jc w:val="start"/>
        <w:rPr>
          <w:rFonts w:ascii="Arial" w:hAnsi="Arial" w:eastAsia="Arial" w:cs="Arial"/>
          <w:sz w:val="22"/>
          <w:szCs w:val="22"/>
        </w:rPr>
      </w:pPr>
      <w:r>
        <w:rPr>
          <w:rFonts w:eastAsia="Arial" w:cs="Arial"/>
          <w:b/>
          <w:bCs/>
          <w:sz w:val="22"/>
          <w:szCs w:val="22"/>
        </w:rPr>
        <w:t xml:space="preserve">Permissions: </w:t>
      </w:r>
      <w:r>
        <w:rPr>
          <w:rFonts w:eastAsia="Arial" w:cs="Arial"/>
          <w:sz w:val="22"/>
          <w:szCs w:val="22"/>
        </w:rPr>
        <w:t>Assignment Permission = No. Data Integrity Team members can edit any Company’s data fields but cannot reassign Company ownership. Ownership changes require Coordinator or Admin involvement.</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13.8 User Assignment Patterns</w:t>
      </w:r>
    </w:p>
    <w:p>
      <w:pPr>
        <w:pStyle w:val="Normal"/>
        <w:bidi w:val="0"/>
        <w:spacing w:before="0" w:after="120"/>
        <w:jc w:val="start"/>
        <w:rPr>
          <w:rFonts w:ascii="Arial" w:hAnsi="Arial" w:eastAsia="Arial" w:cs="Arial"/>
          <w:sz w:val="22"/>
          <w:szCs w:val="22"/>
        </w:rPr>
      </w:pPr>
      <w:r>
        <w:rPr>
          <w:rFonts w:eastAsia="Arial" w:cs="Arial"/>
          <w:sz w:val="22"/>
          <w:szCs w:val="22"/>
        </w:rPr>
        <w:t>Roles and teams compose additively. The table below summarizes how to configure each type of user; combinations are valid (e.g., a user can be both a Mentor and a Partner Manager by being in both teams).</w:t>
      </w:r>
    </w:p>
    <w:tbl>
      <w:tblPr>
        <w:tblW w:w="9360" w:type="dxa"/>
        <w:jc w:val="start"/>
        <w:tblInd w:w="0" w:type="dxa"/>
        <w:tblLayout w:type="fixed"/>
        <w:tblCellMar>
          <w:top w:w="80" w:type="dxa"/>
          <w:start w:w="160" w:type="dxa"/>
          <w:bottom w:w="80" w:type="dxa"/>
          <w:end w:w="160" w:type="dxa"/>
        </w:tblCellMar>
      </w:tblPr>
      <w:tblGrid>
        <w:gridCol w:w="2700"/>
        <w:gridCol w:w="3359"/>
        <w:gridCol w:w="3301"/>
      </w:tblGrid>
      <w:tr>
        <w:trPr/>
        <w:tc>
          <w:tcPr>
            <w:tcW w:w="27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User Type</w:t>
            </w:r>
          </w:p>
        </w:tc>
        <w:tc>
          <w:tcPr>
            <w:tcW w:w="335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Direct Role Assignments</w:t>
            </w:r>
          </w:p>
        </w:tc>
        <w:tc>
          <w:tcPr>
            <w:tcW w:w="330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Team Memberships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staff</w:t>
            </w:r>
          </w:p>
        </w:tc>
        <w:tc>
          <w:tcPr>
            <w:tcW w:w="33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User</w:t>
            </w:r>
          </w:p>
        </w:tc>
        <w:tc>
          <w:tcPr>
            <w:tcW w:w="33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(none)</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w:t>
            </w:r>
          </w:p>
        </w:tc>
        <w:tc>
          <w:tcPr>
            <w:tcW w:w="33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User</w:t>
            </w:r>
          </w:p>
        </w:tc>
        <w:tc>
          <w:tcPr>
            <w:tcW w:w="33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Sponsor Coordinator</w:t>
            </w:r>
          </w:p>
        </w:tc>
        <w:tc>
          <w:tcPr>
            <w:tcW w:w="33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User</w:t>
            </w:r>
          </w:p>
        </w:tc>
        <w:tc>
          <w:tcPr>
            <w:tcW w:w="33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Sponsor Coordinators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Partner Manager</w:t>
            </w:r>
          </w:p>
        </w:tc>
        <w:tc>
          <w:tcPr>
            <w:tcW w:w="33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User</w:t>
            </w:r>
          </w:p>
        </w:tc>
        <w:tc>
          <w:tcPr>
            <w:tcW w:w="33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Partner Managers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Data Integrity volunteer</w:t>
            </w:r>
          </w:p>
        </w:tc>
        <w:tc>
          <w:tcPr>
            <w:tcW w:w="33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User</w:t>
            </w:r>
          </w:p>
        </w:tc>
        <w:tc>
          <w:tcPr>
            <w:tcW w:w="33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Data Integrity Team</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Per-type Coordinator</w:t>
            </w:r>
          </w:p>
        </w:tc>
        <w:tc>
          <w:tcPr>
            <w:tcW w:w="33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User + the relevant Coordinator role</w:t>
            </w:r>
          </w:p>
        </w:tc>
        <w:tc>
          <w:tcPr>
            <w:tcW w:w="33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(optional access team)</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Multi-role user</w:t>
            </w:r>
          </w:p>
        </w:tc>
        <w:tc>
          <w:tcPr>
            <w:tcW w:w="33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User</w:t>
            </w:r>
          </w:p>
        </w:tc>
        <w:tc>
          <w:tcPr>
            <w:tcW w:w="33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All relevant access teams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Administrator</w:t>
            </w:r>
          </w:p>
        </w:tc>
        <w:tc>
          <w:tcPr>
            <w:tcW w:w="33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Admin</w:t>
            </w:r>
          </w:p>
        </w:tc>
        <w:tc>
          <w:tcPr>
            <w:tcW w:w="33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(bypasses ACL entirely)</w:t>
            </w:r>
          </w:p>
        </w:tc>
      </w:tr>
    </w:tbl>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13.9 Workflow Rules</w:t>
      </w:r>
    </w:p>
    <w:p>
      <w:pPr>
        <w:pStyle w:val="Normal"/>
        <w:bidi w:val="0"/>
        <w:spacing w:before="0" w:after="120"/>
        <w:jc w:val="start"/>
        <w:rPr>
          <w:rFonts w:ascii="Arial" w:hAnsi="Arial" w:eastAsia="Arial" w:cs="Arial"/>
          <w:sz w:val="22"/>
          <w:szCs w:val="22"/>
        </w:rPr>
      </w:pPr>
      <w:r>
        <w:rPr>
          <w:rFonts w:eastAsia="Arial" w:cs="Arial"/>
          <w:sz w:val="22"/>
          <w:szCs w:val="22"/>
        </w:rPr>
        <w:t>Three independent workflow rules synchronize Company ownership into the corresponding sensitive entity’s assignedUsers field. Each rule is additive only — it adds the current Company.assignedUser to the related sensitive record’s assignedUsers when Company ownership changes, but never removes anyone. Stale access is detected through the Coordinator Stale-Access Dashlets described in Section 13.10.</w:t>
      </w:r>
    </w:p>
    <w:tbl>
      <w:tblPr>
        <w:tblW w:w="9360" w:type="dxa"/>
        <w:jc w:val="start"/>
        <w:tblInd w:w="0" w:type="dxa"/>
        <w:tblLayout w:type="fixed"/>
        <w:tblCellMar>
          <w:top w:w="80" w:type="dxa"/>
          <w:start w:w="160" w:type="dxa"/>
          <w:bottom w:w="80" w:type="dxa"/>
          <w:end w:w="160" w:type="dxa"/>
        </w:tblCellMar>
      </w:tblPr>
      <w:tblGrid>
        <w:gridCol w:w="2999"/>
        <w:gridCol w:w="3201"/>
        <w:gridCol w:w="3160"/>
      </w:tblGrid>
      <w:tr>
        <w:trPr/>
        <w:tc>
          <w:tcPr>
            <w:tcW w:w="29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Workflow Rule</w:t>
            </w:r>
          </w:p>
        </w:tc>
        <w:tc>
          <w:tcPr>
            <w:tcW w:w="320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Trigger</w:t>
            </w:r>
          </w:p>
        </w:tc>
        <w:tc>
          <w:tcPr>
            <w:tcW w:w="3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Action</w:t>
            </w:r>
          </w:p>
        </w:tc>
      </w:tr>
      <w:tr>
        <w:trPr/>
        <w:tc>
          <w:tcPr>
            <w:tcW w:w="29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Sync Mentor to ClientProfile</w:t>
            </w:r>
          </w:p>
        </w:tc>
        <w:tc>
          <w:tcPr>
            <w:tcW w:w="3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Company.assignedUser change (or ClientProfile created)</w:t>
            </w:r>
          </w:p>
        </w:tc>
        <w:tc>
          <w:tcPr>
            <w:tcW w:w="3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 the current Company.assignedUser to ClientProfile.assignedUsers.</w:t>
            </w:r>
          </w:p>
        </w:tc>
      </w:tr>
      <w:tr>
        <w:trPr/>
        <w:tc>
          <w:tcPr>
            <w:tcW w:w="29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Sync Sponsor Coordinator to SponsorProfile</w:t>
            </w:r>
          </w:p>
        </w:tc>
        <w:tc>
          <w:tcPr>
            <w:tcW w:w="3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Same on the corresponding Company/SponsorProfile pair</w:t>
            </w:r>
          </w:p>
        </w:tc>
        <w:tc>
          <w:tcPr>
            <w:tcW w:w="3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Same, targeting SponsorProfile.assignedUsers.</w:t>
            </w:r>
          </w:p>
        </w:tc>
      </w:tr>
      <w:tr>
        <w:trPr/>
        <w:tc>
          <w:tcPr>
            <w:tcW w:w="29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Sync Partner Manager to PartnerProfile</w:t>
            </w:r>
          </w:p>
        </w:tc>
        <w:tc>
          <w:tcPr>
            <w:tcW w:w="3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Same on the corresponding Company/PartnerProfile pair</w:t>
            </w:r>
          </w:p>
        </w:tc>
        <w:tc>
          <w:tcPr>
            <w:tcW w:w="3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Same, targeting PartnerProfile.assignedUsers.</w:t>
            </w:r>
          </w:p>
        </w:tc>
      </w:tr>
    </w:tbl>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13.10 Coordinator Stale-Access Dashlets</w:t>
      </w:r>
    </w:p>
    <w:p>
      <w:pPr>
        <w:pStyle w:val="Normal"/>
        <w:bidi w:val="0"/>
        <w:spacing w:before="0" w:after="120"/>
        <w:jc w:val="start"/>
        <w:rPr>
          <w:rFonts w:ascii="Arial" w:hAnsi="Arial" w:eastAsia="Arial" w:cs="Arial"/>
          <w:sz w:val="22"/>
          <w:szCs w:val="22"/>
        </w:rPr>
      </w:pPr>
      <w:r>
        <w:rPr>
          <w:rFonts w:eastAsia="Arial" w:cs="Arial"/>
          <w:sz w:val="22"/>
          <w:szCs w:val="22"/>
        </w:rPr>
        <w:t>Each Coordinator role has a corresponding dashlet on their home dashboard, showing sensitive entity records where the assignedUsers list contains a user who is not the current Company.assignedUser. These records have stale access — typically the result of Company reassignment without follow-up cleanup. The Coordinator reviews the list on a regular cadence and removes outdated entries from assignedUsers as appropriate.</w:t>
      </w:r>
    </w:p>
    <w:p>
      <w:pPr>
        <w:pStyle w:val="Normal"/>
        <w:bidi w:val="0"/>
        <w:spacing w:before="0" w:after="120"/>
        <w:jc w:val="start"/>
        <w:rPr>
          <w:rFonts w:ascii="Arial" w:hAnsi="Arial" w:eastAsia="Arial" w:cs="Arial"/>
          <w:sz w:val="22"/>
          <w:szCs w:val="22"/>
        </w:rPr>
      </w:pPr>
      <w:r>
        <w:rPr>
          <w:rFonts w:eastAsia="Arial" w:cs="Arial"/>
          <w:sz w:val="22"/>
          <w:szCs w:val="22"/>
        </w:rPr>
        <w:t>This design choice keeps revocation explicit and auditable: a person decides to remove access, rather than the workflow silently revoking it on reassignment. The trade-off is operational discipline — the Coordinator must do the cleanup.</w:t>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13.11 Test Plan</w:t>
      </w:r>
    </w:p>
    <w:p>
      <w:pPr>
        <w:pStyle w:val="Normal"/>
        <w:bidi w:val="0"/>
        <w:spacing w:before="0" w:after="120"/>
        <w:jc w:val="start"/>
        <w:rPr>
          <w:rFonts w:ascii="Arial" w:hAnsi="Arial" w:eastAsia="Arial" w:cs="Arial"/>
          <w:sz w:val="22"/>
          <w:szCs w:val="22"/>
        </w:rPr>
      </w:pPr>
      <w:r>
        <w:rPr>
          <w:rFonts w:eastAsia="Arial" w:cs="Arial"/>
          <w:sz w:val="22"/>
          <w:szCs w:val="22"/>
        </w:rPr>
        <w:t>After any change to the security configuration, the following test users should be verified by logging in as each one (in an incognito window — never test as Admin) and confirming the access matches expectations:</w:t>
      </w:r>
    </w:p>
    <w:p>
      <w:pPr>
        <w:pStyle w:val="ListParagraph"/>
        <w:numPr>
          <w:ilvl w:val="0"/>
          <w:numId w:val="1"/>
        </w:numPr>
        <w:bidi w:val="0"/>
        <w:spacing w:before="0" w:after="60"/>
        <w:ind w:hanging="360" w:start="720"/>
        <w:jc w:val="start"/>
        <w:rPr>
          <w:rFonts w:ascii="Arial" w:hAnsi="Arial" w:eastAsia="Arial" w:cs="Arial"/>
          <w:sz w:val="22"/>
          <w:szCs w:val="22"/>
        </w:rPr>
      </w:pPr>
      <w:r>
        <w:rPr>
          <w:rFonts w:eastAsia="Arial" w:cs="Arial"/>
          <w:sz w:val="22"/>
          <w:szCs w:val="22"/>
        </w:rPr>
        <w:t>test_standard — Standard User only. Should see all Companies but no ClientProfile, SponsorProfile, or PartnerProfile panels anywhere.</w:t>
      </w:r>
    </w:p>
    <w:p>
      <w:pPr>
        <w:pStyle w:val="ListParagraph"/>
        <w:numPr>
          <w:ilvl w:val="0"/>
          <w:numId w:val="1"/>
        </w:numPr>
        <w:bidi w:val="0"/>
        <w:spacing w:before="0" w:after="60"/>
        <w:ind w:hanging="360" w:start="720"/>
        <w:jc w:val="start"/>
        <w:rPr>
          <w:rFonts w:ascii="Arial" w:hAnsi="Arial" w:eastAsia="Arial" w:cs="Arial"/>
          <w:sz w:val="22"/>
          <w:szCs w:val="22"/>
        </w:rPr>
      </w:pPr>
      <w:r>
        <w:rPr>
          <w:rFonts w:eastAsia="Arial" w:cs="Arial"/>
          <w:sz w:val="22"/>
          <w:szCs w:val="22"/>
        </w:rPr>
        <w:t>test_mentor — Standard User + Mentors team. Set as Company.assignedUser on at least one Company with a ClientProfile, and not on a different Company that also has a ClientProfile. Should see the ClientProfile panel populated on the owned Company and empty on the non-owned Company.</w:t>
      </w:r>
    </w:p>
    <w:p>
      <w:pPr>
        <w:pStyle w:val="ListParagraph"/>
        <w:numPr>
          <w:ilvl w:val="0"/>
          <w:numId w:val="1"/>
        </w:numPr>
        <w:bidi w:val="0"/>
        <w:spacing w:before="0" w:after="60"/>
        <w:ind w:hanging="360" w:start="720"/>
        <w:jc w:val="start"/>
        <w:rPr>
          <w:rFonts w:ascii="Arial" w:hAnsi="Arial" w:eastAsia="Arial" w:cs="Arial"/>
          <w:sz w:val="22"/>
          <w:szCs w:val="22"/>
        </w:rPr>
      </w:pPr>
      <w:r>
        <w:rPr>
          <w:rFonts w:eastAsia="Arial" w:cs="Arial"/>
          <w:sz w:val="22"/>
          <w:szCs w:val="22"/>
        </w:rPr>
        <w:t>test_dual_mentor_partner — Standard User + Mentors team + Partner Managers team. Should see ClientProfile panels and PartnerProfile panels independently, but no SponsorProfile panels.</w:t>
      </w:r>
    </w:p>
    <w:p>
      <w:pPr>
        <w:pStyle w:val="ListParagraph"/>
        <w:numPr>
          <w:ilvl w:val="0"/>
          <w:numId w:val="1"/>
        </w:numPr>
        <w:bidi w:val="0"/>
        <w:spacing w:before="0" w:after="60"/>
        <w:ind w:hanging="360" w:start="720"/>
        <w:jc w:val="start"/>
        <w:rPr>
          <w:rFonts w:ascii="Arial" w:hAnsi="Arial" w:eastAsia="Arial" w:cs="Arial"/>
          <w:sz w:val="22"/>
          <w:szCs w:val="22"/>
        </w:rPr>
      </w:pPr>
      <w:r>
        <w:rPr>
          <w:rFonts w:eastAsia="Arial" w:cs="Arial"/>
          <w:sz w:val="22"/>
          <w:szCs w:val="22"/>
        </w:rPr>
        <w:t>test_client_coord — Standard User + Client Sensitive Coordinator role. Should see all ClientProfile panels and records, regardless of Company ownership.</w:t>
      </w:r>
    </w:p>
    <w:p>
      <w:pPr>
        <w:pStyle w:val="ListParagraph"/>
        <w:numPr>
          <w:ilvl w:val="0"/>
          <w:numId w:val="1"/>
        </w:numPr>
        <w:bidi w:val="0"/>
        <w:spacing w:before="0" w:after="60"/>
        <w:ind w:hanging="360" w:start="720"/>
        <w:jc w:val="start"/>
        <w:rPr>
          <w:rFonts w:ascii="Arial" w:hAnsi="Arial" w:eastAsia="Arial" w:cs="Arial"/>
          <w:sz w:val="22"/>
          <w:szCs w:val="22"/>
        </w:rPr>
      </w:pPr>
      <w:r>
        <w:rPr>
          <w:rFonts w:eastAsia="Arial" w:cs="Arial"/>
          <w:sz w:val="22"/>
          <w:szCs w:val="22"/>
        </w:rPr>
        <w:t>test_data_integrity — Standard User + Data Integrity Team. Should be able to edit any Company’s data fields, but should not see any sensitive entity panels.</w:t>
      </w:r>
    </w:p>
    <w:p>
      <w:pPr>
        <w:pStyle w:val="Normal"/>
        <w:bidi w:val="0"/>
        <w:spacing w:before="0" w:after="120"/>
        <w:jc w:val="start"/>
        <w:rPr>
          <w:rFonts w:ascii="Arial" w:hAnsi="Arial" w:eastAsia="Arial" w:cs="Arial"/>
          <w:sz w:val="22"/>
          <w:szCs w:val="22"/>
        </w:rPr>
      </w:pPr>
      <w:r>
        <w:rPr>
          <w:rFonts w:eastAsia="Arial" w:cs="Arial"/>
          <w:sz w:val="22"/>
          <w:szCs w:val="22"/>
        </w:rPr>
        <w:t>This section will document how to configure user roles and permissions in EspoCRM to control what actions users can perform on records and relationship panels.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Topics planned for this section — pending research:</w:t>
      </w:r>
    </w:p>
    <w:p>
      <w:pPr>
        <w:pStyle w:val="ListParagraph"/>
        <w:numPr>
          <w:ilvl w:val="0"/>
          <w:numId w:val="125"/>
        </w:numPr>
        <w:bidi w:val="0"/>
        <w:spacing w:before="0" w:after="80"/>
        <w:jc w:val="start"/>
        <w:rPr>
          <w:rFonts w:ascii="Arial" w:hAnsi="Arial" w:eastAsia="Arial" w:cs="Arial"/>
          <w:sz w:val="22"/>
          <w:szCs w:val="22"/>
        </w:rPr>
      </w:pPr>
      <w:r>
        <w:rPr>
          <w:rFonts w:eastAsia="Arial" w:cs="Arial"/>
          <w:sz w:val="22"/>
          <w:szCs w:val="22"/>
        </w:rPr>
        <w:t>7. Restricting the Remove function in relationship panels — preventing users from permanently deleting linked records via the panel</w:t>
      </w:r>
    </w:p>
    <w:p>
      <w:pPr>
        <w:pStyle w:val="ListParagraph"/>
        <w:numPr>
          <w:ilvl w:val="0"/>
          <w:numId w:val="126"/>
        </w:numPr>
        <w:bidi w:val="0"/>
        <w:spacing w:before="0" w:after="80"/>
        <w:jc w:val="start"/>
        <w:rPr>
          <w:rFonts w:ascii="Arial" w:hAnsi="Arial" w:eastAsia="Arial" w:cs="Arial"/>
          <w:sz w:val="22"/>
          <w:szCs w:val="22"/>
        </w:rPr>
      </w:pPr>
      <w:r>
        <w:rPr>
          <w:rFonts w:eastAsia="Arial" w:cs="Arial"/>
          <w:sz w:val="22"/>
          <w:szCs w:val="22"/>
        </w:rPr>
        <w:t>8. Restricting the Unlink function in relationship panels — controlling whether users can remove associations between records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See the Questions for Research section for the open questions that need to be resolved before these topics can be fully documented.</w:t>
            </w:r>
          </w:p>
        </w:tc>
      </w:tr>
    </w:tbl>
    <w:p>
      <w:pPr>
        <w:pStyle w:val="Normal"/>
        <w:bidi w:val="0"/>
        <w:jc w:val="start"/>
        <w:rPr/>
      </w:pPr>
      <w:r>
        <w:rPr/>
      </w:r>
    </w:p>
    <w:p>
      <w:pPr>
        <w:pStyle w:val="Heading1"/>
        <w:numPr>
          <w:ilvl w:val="0"/>
          <w:numId w:val="0"/>
        </w:numPr>
        <w:bidi w:val="0"/>
        <w:spacing w:before="320" w:after="160"/>
        <w:ind w:hanging="0" w:start="0"/>
        <w:jc w:val="start"/>
        <w:rPr>
          <w:rFonts w:ascii="Arial" w:hAnsi="Arial" w:eastAsia="Arial" w:cs="Arial"/>
          <w:b/>
          <w:bCs/>
          <w:color w:val="2E75B6"/>
          <w:sz w:val="32"/>
          <w:szCs w:val="32"/>
        </w:rPr>
      </w:pPr>
      <w:r>
        <w:rPr/>
      </w:r>
      <w:r>
        <w:br w:type="page"/>
      </w:r>
    </w:p>
    <w:p>
      <w:pPr>
        <w:pStyle w:val="Heading1"/>
        <w:numPr>
          <w:ilvl w:val="0"/>
          <w:numId w:val="0"/>
        </w:numPr>
        <w:bidi w:val="0"/>
        <w:spacing w:before="320" w:after="160"/>
        <w:ind w:hanging="0" w:start="0"/>
        <w:jc w:val="start"/>
        <w:rPr/>
      </w:pPr>
      <w:r>
        <w:rPr>
          <w:rFonts w:eastAsia="Arial" w:cs="Arial" w:ascii="Arial" w:hAnsi="Arial"/>
          <w:b/>
          <w:bCs/>
          <w:color w:val="2E75B6"/>
          <w:sz w:val="32"/>
          <w:szCs w:val="32"/>
        </w:rPr>
        <w:t>Integration Configuration</w:t>
      </w:r>
    </w:p>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9. Integrating Google Meet with EspoCRM Meetings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9.1 How It Works</w:t>
      </w:r>
    </w:p>
    <w:p>
      <w:pPr>
        <w:pStyle w:val="Normal"/>
        <w:bidi w:val="0"/>
        <w:spacing w:before="0" w:after="120"/>
        <w:jc w:val="start"/>
        <w:rPr>
          <w:rFonts w:ascii="Arial" w:hAnsi="Arial" w:eastAsia="Arial" w:cs="Arial"/>
          <w:sz w:val="22"/>
          <w:szCs w:val="22"/>
        </w:rPr>
      </w:pPr>
      <w:r>
        <w:rPr>
          <w:rFonts w:eastAsia="Arial" w:cs="Arial"/>
          <w:sz w:val="22"/>
          <w:szCs w:val="22"/>
        </w:rPr>
        <w:t>When a meeting is created in EspoCRM and synced to a user's Google Calendar, Google Calendar automatically attaches a Meet link to the event if the user's calendar has Meet link generation enabled. This is standard behavior for Google Workspace accounts.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flow is:</w:t>
      </w:r>
    </w:p>
    <w:p>
      <w:pPr>
        <w:pStyle w:val="ListParagraph"/>
        <w:numPr>
          <w:ilvl w:val="0"/>
          <w:numId w:val="127"/>
        </w:numPr>
        <w:bidi w:val="0"/>
        <w:spacing w:before="0" w:after="100"/>
        <w:jc w:val="start"/>
        <w:rPr>
          <w:rFonts w:ascii="Arial" w:hAnsi="Arial" w:eastAsia="Arial" w:cs="Arial"/>
          <w:sz w:val="22"/>
          <w:szCs w:val="22"/>
        </w:rPr>
      </w:pPr>
      <w:r>
        <w:rPr>
          <w:rFonts w:eastAsia="Arial" w:cs="Arial"/>
          <w:sz w:val="22"/>
          <w:szCs w:val="22"/>
        </w:rPr>
        <w:t>A meeting is created in EspoCRM and assigned to a user.</w:t>
      </w:r>
    </w:p>
    <w:p>
      <w:pPr>
        <w:pStyle w:val="ListParagraph"/>
        <w:numPr>
          <w:ilvl w:val="0"/>
          <w:numId w:val="128"/>
        </w:numPr>
        <w:bidi w:val="0"/>
        <w:spacing w:before="0" w:after="100"/>
        <w:jc w:val="start"/>
        <w:rPr>
          <w:rFonts w:ascii="Arial" w:hAnsi="Arial" w:eastAsia="Arial" w:cs="Arial"/>
          <w:sz w:val="22"/>
          <w:szCs w:val="22"/>
        </w:rPr>
      </w:pPr>
      <w:r>
        <w:rPr>
          <w:rFonts w:eastAsia="Arial" w:cs="Arial"/>
          <w:sz w:val="22"/>
          <w:szCs w:val="22"/>
        </w:rPr>
        <w:t>EspoCRM syncs the meeting to that user's Google Calendar via the Google Calendar sync module.</w:t>
      </w:r>
    </w:p>
    <w:p>
      <w:pPr>
        <w:pStyle w:val="ListParagraph"/>
        <w:numPr>
          <w:ilvl w:val="0"/>
          <w:numId w:val="129"/>
        </w:numPr>
        <w:bidi w:val="0"/>
        <w:spacing w:before="0" w:after="100"/>
        <w:jc w:val="start"/>
        <w:rPr>
          <w:rFonts w:ascii="Arial" w:hAnsi="Arial" w:eastAsia="Arial" w:cs="Arial"/>
          <w:sz w:val="22"/>
          <w:szCs w:val="22"/>
        </w:rPr>
      </w:pPr>
      <w:r>
        <w:rPr>
          <w:rFonts w:eastAsia="Arial" w:cs="Arial"/>
          <w:sz w:val="22"/>
          <w:szCs w:val="22"/>
        </w:rPr>
        <w:t>Google Calendar automatically generates and attaches a Meet link to the event.</w:t>
      </w:r>
    </w:p>
    <w:p>
      <w:pPr>
        <w:pStyle w:val="ListParagraph"/>
        <w:numPr>
          <w:ilvl w:val="0"/>
          <w:numId w:val="130"/>
        </w:numPr>
        <w:bidi w:val="0"/>
        <w:spacing w:before="0" w:after="100"/>
        <w:jc w:val="start"/>
        <w:rPr>
          <w:rFonts w:ascii="Arial" w:hAnsi="Arial" w:eastAsia="Arial" w:cs="Arial"/>
          <w:sz w:val="22"/>
          <w:szCs w:val="22"/>
        </w:rPr>
      </w:pPr>
      <w:r>
        <w:rPr>
          <w:rFonts w:eastAsia="Arial" w:cs="Arial"/>
          <w:sz w:val="22"/>
          <w:szCs w:val="22"/>
        </w:rPr>
        <w:t>The Meet link is visible in the Google Calendar event, and attendees receive it in their calendar invitation.</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EspoCRM does not currently display the Google Meet link back inside the EspoCRM meeting record. Users will need to open the event in Google Calendar to access the Meet link, or find it in their calendar invitation email.</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9.2 Prerequisites</w:t>
      </w:r>
    </w:p>
    <w:p>
      <w:pPr>
        <w:pStyle w:val="Normal"/>
        <w:bidi w:val="0"/>
        <w:spacing w:before="0" w:after="120"/>
        <w:jc w:val="start"/>
        <w:rPr>
          <w:rFonts w:ascii="Arial" w:hAnsi="Arial" w:eastAsia="Arial" w:cs="Arial"/>
          <w:sz w:val="22"/>
          <w:szCs w:val="22"/>
        </w:rPr>
      </w:pPr>
      <w:r>
        <w:rPr>
          <w:rFonts w:eastAsia="Arial" w:cs="Arial"/>
          <w:sz w:val="22"/>
          <w:szCs w:val="22"/>
        </w:rPr>
        <w:t>Before this integration will work, the following must be in place:</w:t>
      </w:r>
    </w:p>
    <w:p>
      <w:pPr>
        <w:pStyle w:val="Normal"/>
        <w:bidi w:val="0"/>
        <w:jc w:val="start"/>
        <w:rPr/>
      </w:pPr>
      <w:r>
        <w:rPr/>
      </w:r>
    </w:p>
    <w:p>
      <w:pPr>
        <w:pStyle w:val="ListParagraph"/>
        <w:numPr>
          <w:ilvl w:val="0"/>
          <w:numId w:val="131"/>
        </w:numPr>
        <w:bidi w:val="0"/>
        <w:spacing w:before="0" w:after="80"/>
        <w:jc w:val="start"/>
        <w:rPr>
          <w:rFonts w:ascii="Arial" w:hAnsi="Arial" w:eastAsia="Arial" w:cs="Arial"/>
          <w:sz w:val="22"/>
          <w:szCs w:val="22"/>
        </w:rPr>
      </w:pPr>
      <w:r>
        <w:rPr>
          <w:rFonts w:eastAsia="Arial" w:cs="Arial"/>
          <w:sz w:val="22"/>
          <w:szCs w:val="22"/>
        </w:rPr>
        <w:t>Google Calendar sync must be configured in EspoCRM. Navigate to: Admin → Extensions → Google Calendar Sync to confirm it is set up.</w:t>
      </w:r>
    </w:p>
    <w:p>
      <w:pPr>
        <w:pStyle w:val="ListParagraph"/>
        <w:numPr>
          <w:ilvl w:val="0"/>
          <w:numId w:val="132"/>
        </w:numPr>
        <w:bidi w:val="0"/>
        <w:spacing w:before="0" w:after="80"/>
        <w:jc w:val="start"/>
        <w:rPr>
          <w:rFonts w:ascii="Arial" w:hAnsi="Arial" w:eastAsia="Arial" w:cs="Arial"/>
          <w:sz w:val="22"/>
          <w:szCs w:val="22"/>
        </w:rPr>
      </w:pPr>
      <w:r>
        <w:rPr>
          <w:rFonts w:eastAsia="Arial" w:cs="Arial"/>
          <w:sz w:val="22"/>
          <w:szCs w:val="22"/>
        </w:rPr>
        <w:t>Each user must have their personal Google account connected to EspoCRM via the Google Integration (Admin → Integrations → Google).</w:t>
      </w:r>
    </w:p>
    <w:p>
      <w:pPr>
        <w:pStyle w:val="ListParagraph"/>
        <w:numPr>
          <w:ilvl w:val="0"/>
          <w:numId w:val="133"/>
        </w:numPr>
        <w:bidi w:val="0"/>
        <w:spacing w:before="0" w:after="80"/>
        <w:jc w:val="start"/>
        <w:rPr>
          <w:rFonts w:ascii="Arial" w:hAnsi="Arial" w:eastAsia="Arial" w:cs="Arial"/>
          <w:sz w:val="22"/>
          <w:szCs w:val="22"/>
        </w:rPr>
      </w:pPr>
      <w:r>
        <w:rPr>
          <w:rFonts w:eastAsia="Arial" w:cs="Arial"/>
          <w:sz w:val="22"/>
          <w:szCs w:val="22"/>
        </w:rPr>
        <w:t>The user's Google Calendar must be configured to automatically add Meet links to events. This is a Google Calendar setting, not an EspoCRM setting — see Section 9.3 below.</w:t>
      </w:r>
    </w:p>
    <w:p>
      <w:pPr>
        <w:pStyle w:val="Normal"/>
        <w:bidi w:val="0"/>
        <w:jc w:val="start"/>
        <w:rPr/>
      </w:pPr>
      <w:r>
        <w:rPr/>
      </w:r>
    </w:p>
    <w:p>
      <w:pPr>
        <w:pStyle w:val="Heading3"/>
        <w:numPr>
          <w:ilvl w:val="0"/>
          <w:numId w:val="0"/>
        </w:numPr>
        <w:bidi w:val="0"/>
        <w:spacing w:before="180" w:after="80"/>
        <w:ind w:hanging="0" w:start="0"/>
        <w:jc w:val="start"/>
        <w:rPr/>
      </w:pPr>
      <w:r>
        <w:rPr>
          <w:rFonts w:eastAsia="Arial" w:cs="Arial" w:ascii="Arial" w:hAnsi="Arial"/>
          <w:b/>
          <w:bCs/>
          <w:color w:val="595959"/>
          <w:sz w:val="24"/>
          <w:szCs w:val="24"/>
        </w:rPr>
        <w:t>9.3 Enabling Automatic Meet Links in Google Calendar</w:t>
      </w:r>
    </w:p>
    <w:p>
      <w:pPr>
        <w:pStyle w:val="Normal"/>
        <w:bidi w:val="0"/>
        <w:spacing w:before="0" w:after="120"/>
        <w:jc w:val="start"/>
        <w:rPr>
          <w:rFonts w:ascii="Arial" w:hAnsi="Arial" w:eastAsia="Arial" w:cs="Arial"/>
          <w:sz w:val="22"/>
          <w:szCs w:val="22"/>
        </w:rPr>
      </w:pPr>
      <w:r>
        <w:rPr>
          <w:rFonts w:eastAsia="Arial" w:cs="Arial"/>
          <w:sz w:val="22"/>
          <w:szCs w:val="22"/>
        </w:rPr>
        <w:t>This setting is configured in Google Calendar, not in EspoCRM. Each user should confirm this is enabled in their own Google Calendar account:</w:t>
      </w:r>
    </w:p>
    <w:p>
      <w:pPr>
        <w:pStyle w:val="Normal"/>
        <w:bidi w:val="0"/>
        <w:jc w:val="start"/>
        <w:rPr/>
      </w:pPr>
      <w:r>
        <w:rPr/>
      </w:r>
    </w:p>
    <w:p>
      <w:pPr>
        <w:pStyle w:val="ListParagraph"/>
        <w:numPr>
          <w:ilvl w:val="0"/>
          <w:numId w:val="134"/>
        </w:numPr>
        <w:bidi w:val="0"/>
        <w:spacing w:before="0" w:after="100"/>
        <w:jc w:val="start"/>
        <w:rPr>
          <w:rFonts w:ascii="Arial" w:hAnsi="Arial" w:eastAsia="Arial" w:cs="Arial"/>
          <w:sz w:val="22"/>
          <w:szCs w:val="22"/>
        </w:rPr>
      </w:pPr>
      <w:r>
        <w:rPr>
          <w:rFonts w:eastAsia="Arial" w:cs="Arial"/>
          <w:sz w:val="22"/>
          <w:szCs w:val="22"/>
        </w:rPr>
        <w:t>Open Google Calendar in a browser and click the Settings gear icon.</w:t>
      </w:r>
    </w:p>
    <w:p>
      <w:pPr>
        <w:pStyle w:val="ListParagraph"/>
        <w:numPr>
          <w:ilvl w:val="0"/>
          <w:numId w:val="135"/>
        </w:numPr>
        <w:bidi w:val="0"/>
        <w:spacing w:before="0" w:after="100"/>
        <w:jc w:val="start"/>
        <w:rPr>
          <w:rFonts w:ascii="Arial" w:hAnsi="Arial" w:eastAsia="Arial" w:cs="Arial"/>
          <w:sz w:val="22"/>
          <w:szCs w:val="22"/>
        </w:rPr>
      </w:pPr>
      <w:r>
        <w:rPr>
          <w:rFonts w:eastAsia="Arial" w:cs="Arial"/>
          <w:sz w:val="22"/>
          <w:szCs w:val="22"/>
        </w:rPr>
        <w:t>Go to Settings → General → Event Settings.</w:t>
      </w:r>
    </w:p>
    <w:p>
      <w:pPr>
        <w:pStyle w:val="ListParagraph"/>
        <w:numPr>
          <w:ilvl w:val="0"/>
          <w:numId w:val="136"/>
        </w:numPr>
        <w:bidi w:val="0"/>
        <w:spacing w:before="0" w:after="100"/>
        <w:jc w:val="start"/>
        <w:rPr>
          <w:rFonts w:ascii="Arial" w:hAnsi="Arial" w:eastAsia="Arial" w:cs="Arial"/>
          <w:sz w:val="22"/>
          <w:szCs w:val="22"/>
        </w:rPr>
      </w:pPr>
      <w:r>
        <w:rPr>
          <w:rFonts w:eastAsia="Arial" w:cs="Arial"/>
          <w:sz w:val="22"/>
          <w:szCs w:val="22"/>
        </w:rPr>
        <w:t>Ensure the option to automatically add video conferencing to events is enabled.</w:t>
      </w:r>
    </w:p>
    <w:p>
      <w:pPr>
        <w:pStyle w:val="ListParagraph"/>
        <w:numPr>
          <w:ilvl w:val="0"/>
          <w:numId w:val="137"/>
        </w:numPr>
        <w:bidi w:val="0"/>
        <w:spacing w:before="0" w:after="100"/>
        <w:jc w:val="start"/>
        <w:rPr>
          <w:rFonts w:ascii="Arial" w:hAnsi="Arial" w:eastAsia="Arial" w:cs="Arial"/>
          <w:sz w:val="22"/>
          <w:szCs w:val="22"/>
        </w:rPr>
      </w:pPr>
      <w:r>
        <w:rPr>
          <w:rFonts w:eastAsia="Arial" w:cs="Arial"/>
          <w:sz w:val="22"/>
          <w:szCs w:val="22"/>
        </w:rPr>
        <w:t>Save settings.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Google Workspace organizations (such as CBM using Google Workspace for Nonprofits), this setting may also be controlled at the admin level via the Google Workspace Admin Console under Calendar settings.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9.4 Creating a Meeting in EspoCRM</w:t>
      </w:r>
    </w:p>
    <w:p>
      <w:pPr>
        <w:pStyle w:val="Normal"/>
        <w:bidi w:val="0"/>
        <w:spacing w:before="0" w:after="120"/>
        <w:jc w:val="start"/>
        <w:rPr>
          <w:rFonts w:ascii="Arial" w:hAnsi="Arial" w:eastAsia="Arial" w:cs="Arial"/>
          <w:sz w:val="22"/>
          <w:szCs w:val="22"/>
        </w:rPr>
      </w:pPr>
      <w:r>
        <w:rPr>
          <w:rFonts w:eastAsia="Arial" w:cs="Arial"/>
          <w:sz w:val="22"/>
          <w:szCs w:val="22"/>
        </w:rPr>
        <w:t>Once the prerequisites are in place, creating a meeting that generates a Meet link requires no special steps:</w:t>
      </w:r>
    </w:p>
    <w:p>
      <w:pPr>
        <w:pStyle w:val="Normal"/>
        <w:bidi w:val="0"/>
        <w:jc w:val="start"/>
        <w:rPr/>
      </w:pPr>
      <w:r>
        <w:rPr/>
      </w:r>
    </w:p>
    <w:p>
      <w:pPr>
        <w:pStyle w:val="ListParagraph"/>
        <w:numPr>
          <w:ilvl w:val="0"/>
          <w:numId w:val="138"/>
        </w:numPr>
        <w:bidi w:val="0"/>
        <w:spacing w:before="0" w:after="100"/>
        <w:jc w:val="start"/>
        <w:rPr>
          <w:rFonts w:ascii="Arial" w:hAnsi="Arial" w:eastAsia="Arial" w:cs="Arial"/>
          <w:sz w:val="22"/>
          <w:szCs w:val="22"/>
        </w:rPr>
      </w:pPr>
      <w:r>
        <w:rPr>
          <w:rFonts w:eastAsia="Arial" w:cs="Arial"/>
          <w:sz w:val="22"/>
          <w:szCs w:val="22"/>
        </w:rPr>
        <w:t>Create a new Meeting record in EspoCRM (via the Meetings entity or from within a related record such as a Contact or Engagement).</w:t>
      </w:r>
    </w:p>
    <w:p>
      <w:pPr>
        <w:pStyle w:val="ListParagraph"/>
        <w:numPr>
          <w:ilvl w:val="0"/>
          <w:numId w:val="139"/>
        </w:numPr>
        <w:bidi w:val="0"/>
        <w:spacing w:before="0" w:after="100"/>
        <w:jc w:val="start"/>
        <w:rPr>
          <w:rFonts w:ascii="Arial" w:hAnsi="Arial" w:eastAsia="Arial" w:cs="Arial"/>
          <w:sz w:val="22"/>
          <w:szCs w:val="22"/>
        </w:rPr>
      </w:pPr>
      <w:r>
        <w:rPr>
          <w:rFonts w:eastAsia="Arial" w:cs="Arial"/>
          <w:sz w:val="22"/>
          <w:szCs w:val="22"/>
        </w:rPr>
        <w:t>Assign the meeting to the appropriate user and set the date and time.</w:t>
      </w:r>
    </w:p>
    <w:p>
      <w:pPr>
        <w:pStyle w:val="ListParagraph"/>
        <w:numPr>
          <w:ilvl w:val="0"/>
          <w:numId w:val="140"/>
        </w:numPr>
        <w:bidi w:val="0"/>
        <w:spacing w:before="0" w:after="100"/>
        <w:jc w:val="start"/>
        <w:rPr>
          <w:rFonts w:ascii="Arial" w:hAnsi="Arial" w:eastAsia="Arial" w:cs="Arial"/>
          <w:sz w:val="22"/>
          <w:szCs w:val="22"/>
        </w:rPr>
      </w:pPr>
      <w:r>
        <w:rPr>
          <w:rFonts w:eastAsia="Arial" w:cs="Arial"/>
          <w:sz w:val="22"/>
          <w:szCs w:val="22"/>
        </w:rPr>
        <w:t>Save the meeting. EspoCRM will sync it to Google Calendar automatically (sync may take a few minutes depending on sync frequency settings).</w:t>
      </w:r>
    </w:p>
    <w:p>
      <w:pPr>
        <w:pStyle w:val="ListParagraph"/>
        <w:numPr>
          <w:ilvl w:val="0"/>
          <w:numId w:val="141"/>
        </w:numPr>
        <w:bidi w:val="0"/>
        <w:spacing w:before="0" w:after="100"/>
        <w:jc w:val="start"/>
        <w:rPr>
          <w:rFonts w:ascii="Arial" w:hAnsi="Arial" w:eastAsia="Arial" w:cs="Arial"/>
          <w:sz w:val="22"/>
          <w:szCs w:val="22"/>
        </w:rPr>
      </w:pPr>
      <w:r>
        <w:rPr>
          <w:rFonts w:eastAsia="Arial" w:cs="Arial"/>
          <w:sz w:val="22"/>
          <w:szCs w:val="22"/>
        </w:rPr>
        <w:t>Open the event in Google Calendar to find the Meet link. Attendees listed on the EspoCRM meeting will receive a calendar invitation with the Meet link included.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Sync frequency is controlled by the Google Calendar sync configuration. If the Meet link does not appear immediately, wait a few minutes and refresh the Google Calendar event.</w:t>
            </w:r>
          </w:p>
        </w:tc>
      </w:tr>
    </w:tbl>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10. Integrating EspoCRM Contacts with Google Contacts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can push Contact and Lead records from EspoCRM into Google Contacts, keeping your CRM data accessible from any Google service or device that syncs with Google Contacts.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Before setting up Google Contacts integration for users, the administrator must first configure the Google Integration at the system level. Confirm this has been completed before proceeding with the user-level setup below.</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10.1 What Gets Pushed</w:t>
      </w:r>
    </w:p>
    <w:p>
      <w:pPr>
        <w:pStyle w:val="Normal"/>
        <w:bidi w:val="0"/>
        <w:spacing w:before="0" w:after="120"/>
        <w:jc w:val="start"/>
        <w:rPr>
          <w:rFonts w:ascii="Arial" w:hAnsi="Arial" w:eastAsia="Arial" w:cs="Arial"/>
          <w:sz w:val="22"/>
          <w:szCs w:val="22"/>
        </w:rPr>
      </w:pPr>
      <w:r>
        <w:rPr>
          <w:rFonts w:eastAsia="Arial" w:cs="Arial"/>
          <w:sz w:val="22"/>
          <w:szCs w:val="22"/>
        </w:rPr>
        <w:t>The following fields are pushed from EspoCRM to Google Contacts when a sync is performed:</w:t>
      </w:r>
    </w:p>
    <w:p>
      <w:pPr>
        <w:pStyle w:val="Normal"/>
        <w:bidi w:val="0"/>
        <w:jc w:val="start"/>
        <w:rPr/>
      </w:pPr>
      <w:r>
        <w:rPr/>
      </w:r>
    </w:p>
    <w:p>
      <w:pPr>
        <w:pStyle w:val="ListParagraph"/>
        <w:numPr>
          <w:ilvl w:val="0"/>
          <w:numId w:val="142"/>
        </w:numPr>
        <w:bidi w:val="0"/>
        <w:spacing w:before="0" w:after="80"/>
        <w:jc w:val="start"/>
        <w:rPr>
          <w:rFonts w:ascii="Arial" w:hAnsi="Arial" w:eastAsia="Arial" w:cs="Arial"/>
          <w:sz w:val="22"/>
          <w:szCs w:val="22"/>
        </w:rPr>
      </w:pPr>
      <w:r>
        <w:rPr>
          <w:rFonts w:eastAsia="Arial" w:cs="Arial"/>
          <w:sz w:val="22"/>
          <w:szCs w:val="22"/>
        </w:rPr>
        <w:t>Name</w:t>
      </w:r>
    </w:p>
    <w:p>
      <w:pPr>
        <w:pStyle w:val="ListParagraph"/>
        <w:numPr>
          <w:ilvl w:val="0"/>
          <w:numId w:val="143"/>
        </w:numPr>
        <w:bidi w:val="0"/>
        <w:spacing w:before="0" w:after="80"/>
        <w:jc w:val="start"/>
        <w:rPr>
          <w:rFonts w:ascii="Arial" w:hAnsi="Arial" w:eastAsia="Arial" w:cs="Arial"/>
          <w:sz w:val="22"/>
          <w:szCs w:val="22"/>
        </w:rPr>
      </w:pPr>
      <w:r>
        <w:rPr>
          <w:rFonts w:eastAsia="Arial" w:cs="Arial"/>
          <w:sz w:val="22"/>
          <w:szCs w:val="22"/>
        </w:rPr>
        <w:t>Description</w:t>
      </w:r>
    </w:p>
    <w:p>
      <w:pPr>
        <w:pStyle w:val="ListParagraph"/>
        <w:numPr>
          <w:ilvl w:val="0"/>
          <w:numId w:val="144"/>
        </w:numPr>
        <w:bidi w:val="0"/>
        <w:spacing w:before="0" w:after="80"/>
        <w:jc w:val="start"/>
        <w:rPr>
          <w:rFonts w:ascii="Arial" w:hAnsi="Arial" w:eastAsia="Arial" w:cs="Arial"/>
          <w:sz w:val="22"/>
          <w:szCs w:val="22"/>
        </w:rPr>
      </w:pPr>
      <w:r>
        <w:rPr>
          <w:rFonts w:eastAsia="Arial" w:cs="Arial"/>
          <w:sz w:val="22"/>
          <w:szCs w:val="22"/>
        </w:rPr>
        <w:t>Email Addresses</w:t>
      </w:r>
    </w:p>
    <w:p>
      <w:pPr>
        <w:pStyle w:val="ListParagraph"/>
        <w:numPr>
          <w:ilvl w:val="0"/>
          <w:numId w:val="145"/>
        </w:numPr>
        <w:bidi w:val="0"/>
        <w:spacing w:before="0" w:after="80"/>
        <w:jc w:val="start"/>
        <w:rPr>
          <w:rFonts w:ascii="Arial" w:hAnsi="Arial" w:eastAsia="Arial" w:cs="Arial"/>
          <w:sz w:val="22"/>
          <w:szCs w:val="22"/>
        </w:rPr>
      </w:pPr>
      <w:r>
        <w:rPr>
          <w:rFonts w:eastAsia="Arial" w:cs="Arial"/>
          <w:sz w:val="22"/>
          <w:szCs w:val="22"/>
        </w:rPr>
        <w:t>Phone Numbers</w:t>
      </w:r>
    </w:p>
    <w:p>
      <w:pPr>
        <w:pStyle w:val="ListParagraph"/>
        <w:numPr>
          <w:ilvl w:val="0"/>
          <w:numId w:val="146"/>
        </w:numPr>
        <w:bidi w:val="0"/>
        <w:spacing w:before="0" w:after="80"/>
        <w:jc w:val="start"/>
        <w:rPr>
          <w:rFonts w:ascii="Arial" w:hAnsi="Arial" w:eastAsia="Arial" w:cs="Arial"/>
          <w:sz w:val="22"/>
          <w:szCs w:val="22"/>
        </w:rPr>
      </w:pPr>
      <w:r>
        <w:rPr>
          <w:rFonts w:eastAsia="Arial" w:cs="Arial"/>
          <w:sz w:val="22"/>
          <w:szCs w:val="22"/>
        </w:rPr>
        <w:t>Account Name</w:t>
      </w:r>
    </w:p>
    <w:p>
      <w:pPr>
        <w:pStyle w:val="ListParagraph"/>
        <w:numPr>
          <w:ilvl w:val="0"/>
          <w:numId w:val="147"/>
        </w:numPr>
        <w:bidi w:val="0"/>
        <w:spacing w:before="0" w:after="80"/>
        <w:jc w:val="start"/>
        <w:rPr>
          <w:rFonts w:ascii="Arial" w:hAnsi="Arial" w:eastAsia="Arial" w:cs="Arial"/>
          <w:sz w:val="22"/>
          <w:szCs w:val="22"/>
        </w:rPr>
      </w:pPr>
      <w:r>
        <w:rPr>
          <w:rFonts w:eastAsia="Arial" w:cs="Arial"/>
          <w:sz w:val="22"/>
          <w:szCs w:val="22"/>
        </w:rPr>
        <w:t>Account Title</w:t>
      </w:r>
    </w:p>
    <w:p>
      <w:pPr>
        <w:pStyle w:val="ListParagraph"/>
        <w:numPr>
          <w:ilvl w:val="0"/>
          <w:numId w:val="148"/>
        </w:numPr>
        <w:bidi w:val="0"/>
        <w:spacing w:before="0" w:after="80"/>
        <w:jc w:val="start"/>
        <w:rPr>
          <w:rFonts w:ascii="Arial" w:hAnsi="Arial" w:eastAsia="Arial" w:cs="Arial"/>
          <w:sz w:val="22"/>
          <w:szCs w:val="22"/>
        </w:rPr>
      </w:pPr>
      <w:r>
        <w:rPr>
          <w:rFonts w:eastAsia="Arial" w:cs="Arial"/>
          <w:sz w:val="22"/>
          <w:szCs w:val="22"/>
        </w:rPr>
        <w:t>Address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10.2 User Setup</w:t>
      </w:r>
    </w:p>
    <w:p>
      <w:pPr>
        <w:pStyle w:val="Normal"/>
        <w:bidi w:val="0"/>
        <w:spacing w:before="0" w:after="120"/>
        <w:jc w:val="start"/>
        <w:rPr>
          <w:rFonts w:ascii="Arial" w:hAnsi="Arial" w:eastAsia="Arial" w:cs="Arial"/>
          <w:sz w:val="22"/>
          <w:szCs w:val="22"/>
        </w:rPr>
      </w:pPr>
      <w:r>
        <w:rPr>
          <w:rFonts w:eastAsia="Arial" w:cs="Arial"/>
          <w:sz w:val="22"/>
          <w:szCs w:val="22"/>
        </w:rPr>
        <w:t>Each user must connect their Google account to EspoCRM and enable the Google Contacts scope before they can push records. To do this:</w:t>
      </w:r>
    </w:p>
    <w:p>
      <w:pPr>
        <w:pStyle w:val="Normal"/>
        <w:bidi w:val="0"/>
        <w:jc w:val="start"/>
        <w:rPr/>
      </w:pPr>
      <w:r>
        <w:rPr/>
      </w:r>
    </w:p>
    <w:p>
      <w:pPr>
        <w:pStyle w:val="ListParagraph"/>
        <w:numPr>
          <w:ilvl w:val="0"/>
          <w:numId w:val="149"/>
        </w:numPr>
        <w:bidi w:val="0"/>
        <w:spacing w:before="0" w:after="100"/>
        <w:jc w:val="start"/>
        <w:rPr>
          <w:rFonts w:ascii="Arial" w:hAnsi="Arial" w:eastAsia="Arial" w:cs="Arial"/>
          <w:sz w:val="22"/>
          <w:szCs w:val="22"/>
        </w:rPr>
      </w:pPr>
      <w:r>
        <w:rPr>
          <w:rFonts w:eastAsia="Arial" w:cs="Arial"/>
          <w:sz w:val="22"/>
          <w:szCs w:val="22"/>
        </w:rPr>
        <w:t>Go to your user detail view by clicking your name in the top-right menu.</w:t>
      </w:r>
    </w:p>
    <w:p>
      <w:pPr>
        <w:pStyle w:val="ListParagraph"/>
        <w:numPr>
          <w:ilvl w:val="0"/>
          <w:numId w:val="150"/>
        </w:numPr>
        <w:bidi w:val="0"/>
        <w:spacing w:before="0" w:after="100"/>
        <w:jc w:val="start"/>
        <w:rPr>
          <w:rFonts w:ascii="Arial" w:hAnsi="Arial" w:eastAsia="Arial" w:cs="Arial"/>
          <w:sz w:val="22"/>
          <w:szCs w:val="22"/>
        </w:rPr>
      </w:pPr>
      <w:r>
        <w:rPr>
          <w:rFonts w:eastAsia="Arial" w:cs="Arial"/>
          <w:sz w:val="22"/>
          <w:szCs w:val="22"/>
        </w:rPr>
        <w:t>Click the External Account button.</w:t>
      </w:r>
    </w:p>
    <w:p>
      <w:pPr>
        <w:pStyle w:val="ListParagraph"/>
        <w:numPr>
          <w:ilvl w:val="0"/>
          <w:numId w:val="151"/>
        </w:numPr>
        <w:bidi w:val="0"/>
        <w:spacing w:before="0" w:after="100"/>
        <w:jc w:val="start"/>
        <w:rPr>
          <w:rFonts w:ascii="Arial" w:hAnsi="Arial" w:eastAsia="Arial" w:cs="Arial"/>
          <w:sz w:val="22"/>
          <w:szCs w:val="22"/>
        </w:rPr>
      </w:pPr>
      <w:r>
        <w:rPr>
          <w:rFonts w:eastAsia="Arial" w:cs="Arial"/>
          <w:sz w:val="22"/>
          <w:szCs w:val="22"/>
        </w:rPr>
        <w:t>Click Google in the left panel.</w:t>
      </w:r>
    </w:p>
    <w:p>
      <w:pPr>
        <w:pStyle w:val="ListParagraph"/>
        <w:numPr>
          <w:ilvl w:val="0"/>
          <w:numId w:val="152"/>
        </w:numPr>
        <w:bidi w:val="0"/>
        <w:spacing w:before="0" w:after="100"/>
        <w:jc w:val="start"/>
        <w:rPr>
          <w:rFonts w:ascii="Arial" w:hAnsi="Arial" w:eastAsia="Arial" w:cs="Arial"/>
          <w:sz w:val="22"/>
          <w:szCs w:val="22"/>
        </w:rPr>
      </w:pPr>
      <w:r>
        <w:rPr>
          <w:rFonts w:eastAsia="Arial" w:cs="Arial"/>
          <w:sz w:val="22"/>
          <w:szCs w:val="22"/>
        </w:rPr>
        <w:t>Check the Enabled checkbox, then click the Connect button.</w:t>
      </w:r>
    </w:p>
    <w:p>
      <w:pPr>
        <w:pStyle w:val="ListParagraph"/>
        <w:numPr>
          <w:ilvl w:val="0"/>
          <w:numId w:val="153"/>
        </w:numPr>
        <w:bidi w:val="0"/>
        <w:spacing w:before="0" w:after="100"/>
        <w:jc w:val="start"/>
        <w:rPr>
          <w:rFonts w:ascii="Arial" w:hAnsi="Arial" w:eastAsia="Arial" w:cs="Arial"/>
          <w:sz w:val="22"/>
          <w:szCs w:val="22"/>
        </w:rPr>
      </w:pPr>
      <w:r>
        <w:rPr>
          <w:rFonts w:eastAsia="Arial" w:cs="Arial"/>
          <w:sz w:val="22"/>
          <w:szCs w:val="22"/>
        </w:rPr>
        <w:t>A popup will appear asking for your consent to grant EspoCRM access to your Google account. Approve it.</w:t>
      </w:r>
    </w:p>
    <w:p>
      <w:pPr>
        <w:pStyle w:val="ListParagraph"/>
        <w:numPr>
          <w:ilvl w:val="0"/>
          <w:numId w:val="154"/>
        </w:numPr>
        <w:bidi w:val="0"/>
        <w:spacing w:before="0" w:after="100"/>
        <w:jc w:val="start"/>
        <w:rPr>
          <w:rFonts w:ascii="Arial" w:hAnsi="Arial" w:eastAsia="Arial" w:cs="Arial"/>
          <w:sz w:val="22"/>
          <w:szCs w:val="22"/>
        </w:rPr>
      </w:pPr>
      <w:r>
        <w:rPr>
          <w:rFonts w:eastAsia="Arial" w:cs="Arial"/>
          <w:sz w:val="22"/>
          <w:szCs w:val="22"/>
        </w:rPr>
        <w:t>A green Connected label should appear confirming the connection was successful.</w:t>
      </w:r>
    </w:p>
    <w:p>
      <w:pPr>
        <w:pStyle w:val="ListParagraph"/>
        <w:numPr>
          <w:ilvl w:val="0"/>
          <w:numId w:val="155"/>
        </w:numPr>
        <w:bidi w:val="0"/>
        <w:spacing w:before="0" w:after="100"/>
        <w:jc w:val="start"/>
        <w:rPr>
          <w:rFonts w:ascii="Arial" w:hAnsi="Arial" w:eastAsia="Arial" w:cs="Arial"/>
          <w:sz w:val="22"/>
          <w:szCs w:val="22"/>
        </w:rPr>
      </w:pPr>
      <w:r>
        <w:rPr>
          <w:rFonts w:eastAsia="Arial" w:cs="Arial"/>
          <w:sz w:val="22"/>
          <w:szCs w:val="22"/>
        </w:rPr>
        <w:t>Check the Google Contacts checkbox to enable contact syncing.</w:t>
      </w:r>
    </w:p>
    <w:p>
      <w:pPr>
        <w:pStyle w:val="ListParagraph"/>
        <w:numPr>
          <w:ilvl w:val="0"/>
          <w:numId w:val="156"/>
        </w:numPr>
        <w:bidi w:val="0"/>
        <w:spacing w:before="0" w:after="100"/>
        <w:jc w:val="start"/>
        <w:rPr>
          <w:rFonts w:ascii="Arial" w:hAnsi="Arial" w:eastAsia="Arial" w:cs="Arial"/>
          <w:sz w:val="22"/>
          <w:szCs w:val="22"/>
        </w:rPr>
      </w:pPr>
      <w:r>
        <w:rPr>
          <w:rFonts w:eastAsia="Arial" w:cs="Arial"/>
          <w:sz w:val="22"/>
          <w:szCs w:val="22"/>
        </w:rPr>
        <w:t>Optionally, select one or more Google Contacts Groups to specify which group(s) EspoCRM records will be pushed into.</w:t>
      </w:r>
    </w:p>
    <w:p>
      <w:pPr>
        <w:pStyle w:val="ListParagraph"/>
        <w:numPr>
          <w:ilvl w:val="0"/>
          <w:numId w:val="157"/>
        </w:numPr>
        <w:bidi w:val="0"/>
        <w:spacing w:before="0" w:after="100"/>
        <w:jc w:val="start"/>
        <w:rPr>
          <w:rFonts w:ascii="Arial" w:hAnsi="Arial" w:eastAsia="Arial" w:cs="Arial"/>
          <w:sz w:val="22"/>
          <w:szCs w:val="22"/>
        </w:rPr>
      </w:pPr>
      <w:r>
        <w:rPr>
          <w:rFonts w:eastAsia="Arial" w:cs="Arial"/>
          <w:sz w:val="22"/>
          <w:szCs w:val="22"/>
        </w:rPr>
        <w:t>Click Save.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If the Google Contacts checkbox does not appear after connecting successfully, the administrator has not granted access to the Google Contacts scope. Contact your administrator to enable it.</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10.3 Pushing Contacts to Google</w:t>
      </w:r>
    </w:p>
    <w:p>
      <w:pPr>
        <w:pStyle w:val="Normal"/>
        <w:bidi w:val="0"/>
        <w:spacing w:before="0" w:after="120"/>
        <w:jc w:val="start"/>
        <w:rPr>
          <w:rFonts w:ascii="Arial" w:hAnsi="Arial" w:eastAsia="Arial" w:cs="Arial"/>
          <w:sz w:val="22"/>
          <w:szCs w:val="22"/>
        </w:rPr>
      </w:pPr>
      <w:r>
        <w:rPr>
          <w:rFonts w:eastAsia="Arial" w:cs="Arial"/>
          <w:sz w:val="22"/>
          <w:szCs w:val="22"/>
        </w:rPr>
        <w:t>Once the user setup is complete, contacts and leads can be pushed to Google Contacts manually:</w:t>
      </w:r>
    </w:p>
    <w:p>
      <w:pPr>
        <w:pStyle w:val="Normal"/>
        <w:bidi w:val="0"/>
        <w:jc w:val="start"/>
        <w:rPr/>
      </w:pPr>
      <w:r>
        <w:rPr/>
      </w:r>
    </w:p>
    <w:p>
      <w:pPr>
        <w:pStyle w:val="ListParagraph"/>
        <w:numPr>
          <w:ilvl w:val="0"/>
          <w:numId w:val="158"/>
        </w:numPr>
        <w:bidi w:val="0"/>
        <w:spacing w:before="0" w:after="100"/>
        <w:jc w:val="start"/>
        <w:rPr>
          <w:rFonts w:ascii="Arial" w:hAnsi="Arial" w:eastAsia="Arial" w:cs="Arial"/>
          <w:sz w:val="22"/>
          <w:szCs w:val="22"/>
        </w:rPr>
      </w:pPr>
      <w:r>
        <w:rPr>
          <w:rFonts w:eastAsia="Arial" w:cs="Arial"/>
          <w:sz w:val="22"/>
          <w:szCs w:val="22"/>
        </w:rPr>
        <w:t>Go to the Contacts or Leads list view.</w:t>
      </w:r>
    </w:p>
    <w:p>
      <w:pPr>
        <w:pStyle w:val="ListParagraph"/>
        <w:numPr>
          <w:ilvl w:val="0"/>
          <w:numId w:val="159"/>
        </w:numPr>
        <w:bidi w:val="0"/>
        <w:spacing w:before="0" w:after="100"/>
        <w:jc w:val="start"/>
        <w:rPr>
          <w:rFonts w:ascii="Arial" w:hAnsi="Arial" w:eastAsia="Arial" w:cs="Arial"/>
          <w:sz w:val="22"/>
          <w:szCs w:val="22"/>
        </w:rPr>
      </w:pPr>
      <w:r>
        <w:rPr>
          <w:rFonts w:eastAsia="Arial" w:cs="Arial"/>
          <w:sz w:val="22"/>
          <w:szCs w:val="22"/>
        </w:rPr>
        <w:t>Select the records you want to push using the checkboxes.</w:t>
      </w:r>
    </w:p>
    <w:p>
      <w:pPr>
        <w:pStyle w:val="ListParagraph"/>
        <w:numPr>
          <w:ilvl w:val="0"/>
          <w:numId w:val="160"/>
        </w:numPr>
        <w:bidi w:val="0"/>
        <w:spacing w:before="0" w:after="100"/>
        <w:jc w:val="start"/>
        <w:rPr>
          <w:rFonts w:ascii="Arial" w:hAnsi="Arial" w:eastAsia="Arial" w:cs="Arial"/>
          <w:sz w:val="22"/>
          <w:szCs w:val="22"/>
        </w:rPr>
      </w:pPr>
      <w:r>
        <w:rPr>
          <w:rFonts w:eastAsia="Arial" w:cs="Arial"/>
          <w:sz w:val="22"/>
          <w:szCs w:val="22"/>
        </w:rPr>
        <w:t>Click the Actions dropdown and select Push to Google.</w:t>
      </w:r>
    </w:p>
    <w:p>
      <w:pPr>
        <w:pStyle w:val="Normal"/>
        <w:bidi w:val="0"/>
        <w:jc w:val="start"/>
        <w:rPr/>
      </w:pPr>
      <w:r>
        <w:rPr/>
      </w:r>
    </w:p>
    <w:p>
      <w:pPr>
        <w:pStyle w:val="Normal"/>
        <w:bidi w:val="0"/>
        <w:spacing w:before="0" w:after="120"/>
        <w:jc w:val="start"/>
        <w:rPr/>
      </w:pPr>
      <w:r>
        <w:rPr>
          <w:rFonts w:eastAsia="Arial" w:cs="Arial"/>
          <w:sz w:val="22"/>
          <w:szCs w:val="22"/>
        </w:rPr>
        <w:t>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pPr>
        <w:pStyle w:val="Normal"/>
        <w:bidi w:val="0"/>
        <w:jc w:val="start"/>
        <w:rPr/>
      </w:pPr>
      <w:r>
        <w:rPr/>
      </w:r>
    </w:p>
    <w:p>
      <w:pPr>
        <w:pStyle w:val="Heading2"/>
        <w:bidi w:val="0"/>
        <w:ind w:hanging="0" w:start="0"/>
        <w:jc w:val="start"/>
        <w:rPr>
          <w:rFonts w:ascii="Arial" w:hAnsi="Arial" w:eastAsia="Arial" w:cs="Arial"/>
          <w:b/>
          <w:bCs/>
          <w:color w:val="2E75B6"/>
          <w:sz w:val="26"/>
          <w:szCs w:val="26"/>
        </w:rPr>
      </w:pPr>
      <w:r>
        <w:rPr>
          <w:rFonts w:eastAsia="Arial" w:cs="Arial" w:ascii="Arial" w:hAnsi="Arial"/>
          <w:b/>
          <w:bCs/>
          <w:color w:val="2E75B6"/>
          <w:sz w:val="26"/>
          <w:szCs w:val="26"/>
        </w:rPr>
        <w:t>11. SMS Sending via Twilio</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includes built-in functionality for sending SMS messages but does not ship with any SMS provider out of the box. SMS sending requires the official SMS Providers extension, which adds support for multiple providers including Twilio.</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11.1 Supported SMS Providers</w:t>
      </w:r>
    </w:p>
    <w:p>
      <w:pPr>
        <w:pStyle w:val="Normal"/>
        <w:bidi w:val="0"/>
        <w:spacing w:before="0" w:after="120"/>
        <w:jc w:val="start"/>
        <w:rPr>
          <w:rFonts w:ascii="Arial" w:hAnsi="Arial" w:eastAsia="Arial" w:cs="Arial"/>
          <w:sz w:val="22"/>
          <w:szCs w:val="22"/>
        </w:rPr>
      </w:pPr>
      <w:r>
        <w:rPr>
          <w:rFonts w:eastAsia="Arial" w:cs="Arial"/>
          <w:sz w:val="22"/>
          <w:szCs w:val="22"/>
        </w:rPr>
        <w:t>The SMS Providers extension supports the following providers:</w:t>
      </w:r>
    </w:p>
    <w:p>
      <w:pPr>
        <w:pStyle w:val="Normal"/>
        <w:bidi w:val="0"/>
        <w:jc w:val="start"/>
        <w:rPr/>
      </w:pPr>
      <w:r>
        <w:rPr/>
      </w:r>
    </w:p>
    <w:p>
      <w:pPr>
        <w:pStyle w:val="ListParagraph"/>
        <w:numPr>
          <w:ilvl w:val="0"/>
          <w:numId w:val="161"/>
        </w:numPr>
        <w:bidi w:val="0"/>
        <w:spacing w:before="0" w:after="80"/>
        <w:jc w:val="start"/>
        <w:rPr>
          <w:rFonts w:ascii="Arial" w:hAnsi="Arial" w:eastAsia="Arial" w:cs="Arial"/>
          <w:sz w:val="22"/>
          <w:szCs w:val="22"/>
        </w:rPr>
      </w:pPr>
      <w:r>
        <w:rPr>
          <w:rFonts w:eastAsia="Arial" w:cs="Arial"/>
          <w:sz w:val="22"/>
          <w:szCs w:val="22"/>
        </w:rPr>
        <w:t>Twilio</w:t>
      </w:r>
    </w:p>
    <w:p>
      <w:pPr>
        <w:pStyle w:val="ListParagraph"/>
        <w:numPr>
          <w:ilvl w:val="0"/>
          <w:numId w:val="162"/>
        </w:numPr>
        <w:bidi w:val="0"/>
        <w:spacing w:before="0" w:after="80"/>
        <w:jc w:val="start"/>
        <w:rPr>
          <w:rFonts w:ascii="Arial" w:hAnsi="Arial" w:eastAsia="Arial" w:cs="Arial"/>
          <w:sz w:val="22"/>
          <w:szCs w:val="22"/>
        </w:rPr>
      </w:pPr>
      <w:r>
        <w:rPr>
          <w:rFonts w:eastAsia="Arial" w:cs="Arial"/>
          <w:sz w:val="22"/>
          <w:szCs w:val="22"/>
        </w:rPr>
        <w:t>Spryng</w:t>
      </w:r>
    </w:p>
    <w:p>
      <w:pPr>
        <w:pStyle w:val="ListParagraph"/>
        <w:numPr>
          <w:ilvl w:val="0"/>
          <w:numId w:val="163"/>
        </w:numPr>
        <w:bidi w:val="0"/>
        <w:spacing w:before="0" w:after="80"/>
        <w:jc w:val="start"/>
        <w:rPr>
          <w:rFonts w:ascii="Arial" w:hAnsi="Arial" w:eastAsia="Arial" w:cs="Arial"/>
          <w:sz w:val="22"/>
          <w:szCs w:val="22"/>
        </w:rPr>
      </w:pPr>
      <w:r>
        <w:rPr>
          <w:rFonts w:eastAsia="Arial" w:cs="Arial"/>
          <w:sz w:val="22"/>
          <w:szCs w:val="22"/>
        </w:rPr>
        <w:t>seven</w:t>
      </w:r>
    </w:p>
    <w:p>
      <w:pPr>
        <w:pStyle w:val="ListParagraph"/>
        <w:numPr>
          <w:ilvl w:val="0"/>
          <w:numId w:val="164"/>
        </w:numPr>
        <w:bidi w:val="0"/>
        <w:spacing w:before="0" w:after="80"/>
        <w:jc w:val="start"/>
        <w:rPr>
          <w:rFonts w:ascii="Arial" w:hAnsi="Arial" w:eastAsia="Arial" w:cs="Arial"/>
          <w:sz w:val="22"/>
          <w:szCs w:val="22"/>
        </w:rPr>
      </w:pPr>
      <w:r>
        <w:rPr>
          <w:rFonts w:eastAsia="Arial" w:cs="Arial"/>
          <w:sz w:val="22"/>
          <w:szCs w:val="22"/>
        </w:rPr>
        <w:t>smstools</w:t>
      </w:r>
    </w:p>
    <w:p>
      <w:pPr>
        <w:pStyle w:val="ListParagraph"/>
        <w:numPr>
          <w:ilvl w:val="0"/>
          <w:numId w:val="165"/>
        </w:numPr>
        <w:bidi w:val="0"/>
        <w:spacing w:before="0" w:after="80"/>
        <w:jc w:val="start"/>
        <w:rPr>
          <w:rFonts w:ascii="Arial" w:hAnsi="Arial" w:eastAsia="Arial" w:cs="Arial"/>
          <w:sz w:val="22"/>
          <w:szCs w:val="22"/>
        </w:rPr>
      </w:pPr>
      <w:r>
        <w:rPr>
          <w:rFonts w:eastAsia="Arial" w:cs="Arial"/>
          <w:sz w:val="22"/>
          <w:szCs w:val="22"/>
        </w:rPr>
        <w:t>SerwerSms</w:t>
      </w:r>
    </w:p>
    <w:p>
      <w:pPr>
        <w:pStyle w:val="ListParagraph"/>
        <w:numPr>
          <w:ilvl w:val="0"/>
          <w:numId w:val="166"/>
        </w:numPr>
        <w:bidi w:val="0"/>
        <w:spacing w:before="0" w:after="80"/>
        <w:jc w:val="start"/>
        <w:rPr>
          <w:rFonts w:ascii="Arial" w:hAnsi="Arial" w:eastAsia="Arial" w:cs="Arial"/>
          <w:sz w:val="22"/>
          <w:szCs w:val="22"/>
        </w:rPr>
      </w:pPr>
      <w:r>
        <w:rPr>
          <w:rFonts w:eastAsia="Arial" w:cs="Arial"/>
          <w:sz w:val="22"/>
          <w:szCs w:val="22"/>
        </w:rPr>
        <w:t>Verimor</w:t>
      </w:r>
    </w:p>
    <w:p>
      <w:pPr>
        <w:pStyle w:val="ListParagraph"/>
        <w:numPr>
          <w:ilvl w:val="0"/>
          <w:numId w:val="167"/>
        </w:numPr>
        <w:bidi w:val="0"/>
        <w:spacing w:before="0" w:after="80"/>
        <w:jc w:val="start"/>
        <w:rPr>
          <w:rFonts w:ascii="Arial" w:hAnsi="Arial" w:eastAsia="Arial" w:cs="Arial"/>
          <w:sz w:val="22"/>
          <w:szCs w:val="22"/>
        </w:rPr>
      </w:pPr>
      <w:r>
        <w:rPr>
          <w:rFonts w:eastAsia="Arial" w:cs="Arial"/>
          <w:sz w:val="22"/>
          <w:szCs w:val="22"/>
        </w:rPr>
        <w:t>GatewayAPI</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Out of the box, SMS can be sent from a Formula script or PHP code. The VoIP Integration additionally provides the ability to send SMS through the EspoCRM UI, but this is available only for the Twilio provider.</w:t>
            </w:r>
          </w:p>
        </w:tc>
      </w:tr>
    </w:tbl>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11.2 Step 1 — Install the SMS Providers Extension</w:t>
      </w:r>
    </w:p>
    <w:p>
      <w:pPr>
        <w:pStyle w:val="Normal"/>
        <w:bidi w:val="0"/>
        <w:spacing w:before="0" w:after="120"/>
        <w:jc w:val="start"/>
        <w:rPr>
          <w:rFonts w:ascii="Arial" w:hAnsi="Arial" w:eastAsia="Arial" w:cs="Arial"/>
          <w:sz w:val="22"/>
          <w:szCs w:val="22"/>
        </w:rPr>
      </w:pPr>
      <w:r>
        <w:rPr>
          <w:rFonts w:eastAsia="Arial" w:cs="Arial"/>
          <w:sz w:val="22"/>
          <w:szCs w:val="22"/>
        </w:rPr>
        <w:t>Download the extension package from the EspoCRM SMS Providers GitHub repository (look under the Assets section of the latest release). Then install it in EspoCRM:</w:t>
      </w:r>
    </w:p>
    <w:p>
      <w:pPr>
        <w:pStyle w:val="Normal"/>
        <w:bidi w:val="0"/>
        <w:jc w:val="start"/>
        <w:rPr/>
      </w:pPr>
      <w:r>
        <w:rPr/>
      </w:r>
    </w:p>
    <w:p>
      <w:pPr>
        <w:pStyle w:val="ListParagraph"/>
        <w:numPr>
          <w:ilvl w:val="0"/>
          <w:numId w:val="168"/>
        </w:numPr>
        <w:bidi w:val="0"/>
        <w:spacing w:before="0" w:after="100"/>
        <w:jc w:val="start"/>
        <w:rPr>
          <w:rFonts w:ascii="Arial" w:hAnsi="Arial" w:eastAsia="Arial" w:cs="Arial"/>
          <w:sz w:val="22"/>
          <w:szCs w:val="22"/>
        </w:rPr>
      </w:pPr>
      <w:r>
        <w:rPr>
          <w:rFonts w:eastAsia="Arial" w:cs="Arial"/>
          <w:sz w:val="22"/>
          <w:szCs w:val="22"/>
        </w:rPr>
        <w:t>Go to: Admin → Extensions.</w:t>
      </w:r>
    </w:p>
    <w:p>
      <w:pPr>
        <w:pStyle w:val="ListParagraph"/>
        <w:numPr>
          <w:ilvl w:val="0"/>
          <w:numId w:val="169"/>
        </w:numPr>
        <w:bidi w:val="0"/>
        <w:spacing w:before="0" w:after="100"/>
        <w:jc w:val="start"/>
        <w:rPr>
          <w:rFonts w:ascii="Arial" w:hAnsi="Arial" w:eastAsia="Arial" w:cs="Arial"/>
          <w:sz w:val="22"/>
          <w:szCs w:val="22"/>
        </w:rPr>
      </w:pPr>
      <w:r>
        <w:rPr>
          <w:rFonts w:eastAsia="Arial" w:cs="Arial"/>
          <w:sz w:val="22"/>
          <w:szCs w:val="22"/>
        </w:rPr>
        <w:t>Click Choose File and select the downloaded extension package.</w:t>
      </w:r>
    </w:p>
    <w:p>
      <w:pPr>
        <w:pStyle w:val="ListParagraph"/>
        <w:numPr>
          <w:ilvl w:val="0"/>
          <w:numId w:val="170"/>
        </w:numPr>
        <w:bidi w:val="0"/>
        <w:spacing w:before="0" w:after="100"/>
        <w:jc w:val="start"/>
        <w:rPr>
          <w:rFonts w:ascii="Arial" w:hAnsi="Arial" w:eastAsia="Arial" w:cs="Arial"/>
          <w:sz w:val="22"/>
          <w:szCs w:val="22"/>
        </w:rPr>
      </w:pPr>
      <w:r>
        <w:rPr>
          <w:rFonts w:eastAsia="Arial" w:cs="Arial"/>
          <w:sz w:val="22"/>
          <w:szCs w:val="22"/>
        </w:rPr>
        <w:t>Click Upload, then follow the prompts to install.</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11.3 Step 2 — Configure the SMS Provider</w:t>
      </w:r>
    </w:p>
    <w:p>
      <w:pPr>
        <w:pStyle w:val="Normal"/>
        <w:bidi w:val="0"/>
        <w:spacing w:before="0" w:after="120"/>
        <w:jc w:val="start"/>
        <w:rPr>
          <w:rFonts w:ascii="Arial" w:hAnsi="Arial" w:eastAsia="Arial" w:cs="Arial"/>
          <w:sz w:val="22"/>
          <w:szCs w:val="22"/>
        </w:rPr>
      </w:pPr>
      <w:r>
        <w:rPr>
          <w:rFonts w:eastAsia="Arial" w:cs="Arial"/>
          <w:sz w:val="22"/>
          <w:szCs w:val="22"/>
        </w:rPr>
        <w:t>After the extension is installed, configure the SMS provider settings:</w:t>
      </w:r>
    </w:p>
    <w:p>
      <w:pPr>
        <w:pStyle w:val="Normal"/>
        <w:bidi w:val="0"/>
        <w:jc w:val="start"/>
        <w:rPr/>
      </w:pPr>
      <w:r>
        <w:rPr/>
      </w:r>
    </w:p>
    <w:p>
      <w:pPr>
        <w:pStyle w:val="ListParagraph"/>
        <w:numPr>
          <w:ilvl w:val="0"/>
          <w:numId w:val="171"/>
        </w:numPr>
        <w:bidi w:val="0"/>
        <w:spacing w:before="0" w:after="100"/>
        <w:jc w:val="start"/>
        <w:rPr>
          <w:rFonts w:ascii="Arial" w:hAnsi="Arial" w:eastAsia="Arial" w:cs="Arial"/>
          <w:sz w:val="22"/>
          <w:szCs w:val="22"/>
        </w:rPr>
      </w:pPr>
      <w:r>
        <w:rPr>
          <w:rFonts w:eastAsia="Arial" w:cs="Arial"/>
          <w:sz w:val="22"/>
          <w:szCs w:val="22"/>
        </w:rPr>
        <w:t>Go to: Admin → SMS.</w:t>
      </w:r>
    </w:p>
    <w:p>
      <w:pPr>
        <w:pStyle w:val="ListParagraph"/>
        <w:numPr>
          <w:ilvl w:val="0"/>
          <w:numId w:val="172"/>
        </w:numPr>
        <w:bidi w:val="0"/>
        <w:spacing w:before="0" w:after="100"/>
        <w:jc w:val="start"/>
        <w:rPr>
          <w:rFonts w:ascii="Arial" w:hAnsi="Arial" w:eastAsia="Arial" w:cs="Arial"/>
          <w:sz w:val="22"/>
          <w:szCs w:val="22"/>
        </w:rPr>
      </w:pPr>
      <w:r>
        <w:rPr>
          <w:rFonts w:eastAsia="Arial" w:cs="Arial"/>
          <w:sz w:val="22"/>
          <w:szCs w:val="22"/>
        </w:rPr>
        <w:t>Select your SMS provider from the Provider dropdown (e.g., Twilio).</w:t>
      </w:r>
    </w:p>
    <w:p>
      <w:pPr>
        <w:pStyle w:val="ListParagraph"/>
        <w:numPr>
          <w:ilvl w:val="0"/>
          <w:numId w:val="173"/>
        </w:numPr>
        <w:bidi w:val="0"/>
        <w:spacing w:before="0" w:after="100"/>
        <w:jc w:val="start"/>
        <w:rPr/>
      </w:pPr>
      <w:r>
        <w:rPr>
          <w:rFonts w:eastAsia="Arial" w:cs="Arial"/>
          <w:sz w:val="22"/>
          <w:szCs w:val="22"/>
        </w:rPr>
        <w:t>In the SMS From Number field, enter the sending phone number including the country code (e.g., +11111111111).</w:t>
      </w:r>
    </w:p>
    <w:p>
      <w:pPr>
        <w:pStyle w:val="ListParagraph"/>
        <w:numPr>
          <w:ilvl w:val="0"/>
          <w:numId w:val="174"/>
        </w:numPr>
        <w:bidi w:val="0"/>
        <w:spacing w:before="0" w:after="100"/>
        <w:jc w:val="start"/>
        <w:rPr>
          <w:rFonts w:ascii="Arial" w:hAnsi="Arial" w:eastAsia="Arial" w:cs="Arial"/>
          <w:sz w:val="22"/>
          <w:szCs w:val="22"/>
        </w:rPr>
      </w:pPr>
      <w:r>
        <w:rPr>
          <w:rFonts w:eastAsia="Arial" w:cs="Arial"/>
          <w:sz w:val="22"/>
          <w:szCs w:val="22"/>
        </w:rPr>
        <w:t>Click Save.</w:t>
      </w:r>
    </w:p>
    <w:p>
      <w:pPr>
        <w:pStyle w:val="Normal"/>
        <w:bidi w:val="0"/>
        <w:jc w:val="start"/>
        <w:rPr/>
      </w:pPr>
      <w:r>
        <w:rPr/>
      </w:r>
    </w:p>
    <w:p>
      <w:pPr>
        <w:pStyle w:val="ListParagraph"/>
        <w:numPr>
          <w:ilvl w:val="0"/>
          <w:numId w:val="175"/>
        </w:numPr>
        <w:bidi w:val="0"/>
        <w:spacing w:before="0" w:after="100"/>
        <w:jc w:val="start"/>
        <w:rPr>
          <w:rFonts w:ascii="Arial" w:hAnsi="Arial" w:eastAsia="Arial" w:cs="Arial"/>
          <w:sz w:val="22"/>
          <w:szCs w:val="22"/>
        </w:rPr>
      </w:pPr>
      <w:r>
        <w:rPr>
          <w:rFonts w:eastAsia="Arial" w:cs="Arial"/>
          <w:sz w:val="22"/>
          <w:szCs w:val="22"/>
        </w:rPr>
        <w:t>Go to: Admin → Integrations and select your provider (e.g., Twilio).</w:t>
      </w:r>
    </w:p>
    <w:p>
      <w:pPr>
        <w:pStyle w:val="ListParagraph"/>
        <w:numPr>
          <w:ilvl w:val="0"/>
          <w:numId w:val="176"/>
        </w:numPr>
        <w:bidi w:val="0"/>
        <w:spacing w:before="0" w:after="100"/>
        <w:jc w:val="start"/>
        <w:rPr>
          <w:rFonts w:ascii="Arial" w:hAnsi="Arial" w:eastAsia="Arial" w:cs="Arial"/>
          <w:sz w:val="22"/>
          <w:szCs w:val="22"/>
        </w:rPr>
      </w:pPr>
      <w:r>
        <w:rPr>
          <w:rFonts w:eastAsia="Arial" w:cs="Arial"/>
          <w:sz w:val="22"/>
          <w:szCs w:val="22"/>
        </w:rPr>
        <w:t>Enter the required credentials and parameters for that provider (for Twilio: Account SID and Auth Token from your Twilio console).</w:t>
      </w:r>
    </w:p>
    <w:p>
      <w:pPr>
        <w:pStyle w:val="ListParagraph"/>
        <w:numPr>
          <w:ilvl w:val="0"/>
          <w:numId w:val="177"/>
        </w:numPr>
        <w:bidi w:val="0"/>
        <w:spacing w:before="0" w:after="100"/>
        <w:jc w:val="start"/>
        <w:rPr>
          <w:rFonts w:ascii="Arial" w:hAnsi="Arial" w:eastAsia="Arial" w:cs="Arial"/>
          <w:sz w:val="22"/>
          <w:szCs w:val="22"/>
        </w:rPr>
      </w:pPr>
      <w:r>
        <w:rPr>
          <w:rFonts w:eastAsia="Arial" w:cs="Arial"/>
          <w:sz w:val="22"/>
          <w:szCs w:val="22"/>
        </w:rPr>
        <w:t>Click Save.</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11.4 Sending SMS via Formula Script</w:t>
      </w:r>
    </w:p>
    <w:p>
      <w:pPr>
        <w:pStyle w:val="Normal"/>
        <w:bidi w:val="0"/>
        <w:spacing w:before="0" w:after="120"/>
        <w:jc w:val="start"/>
        <w:rPr>
          <w:rFonts w:ascii="Arial" w:hAnsi="Arial" w:eastAsia="Arial" w:cs="Arial"/>
          <w:sz w:val="22"/>
          <w:szCs w:val="22"/>
        </w:rPr>
      </w:pPr>
      <w:r>
        <w:rPr>
          <w:rFonts w:eastAsia="Arial" w:cs="Arial"/>
          <w:sz w:val="22"/>
          <w:szCs w:val="22"/>
        </w:rPr>
        <w:t>Once the extension is installed and configured, SMS messages can be sent programmatically using the ext\sms\send formula function. This is useful for automated notifications triggered by workflows or other system events.</w:t>
      </w:r>
    </w:p>
    <w:p>
      <w:pPr>
        <w:pStyle w:val="Normal"/>
        <w:bidi w:val="0"/>
        <w:jc w:val="start"/>
        <w:rPr/>
      </w:pPr>
      <w:r>
        <w:rPr/>
      </w:r>
    </w:p>
    <w:p>
      <w:pPr>
        <w:pStyle w:val="Heading3"/>
        <w:bidi w:val="0"/>
        <w:ind w:hanging="0" w:start="0"/>
        <w:jc w:val="start"/>
        <w:rPr>
          <w:rFonts w:ascii="Arial" w:hAnsi="Arial" w:eastAsia="Arial" w:cs="Arial"/>
          <w:b/>
          <w:bCs/>
          <w:color w:val="595959"/>
          <w:sz w:val="24"/>
          <w:szCs w:val="24"/>
        </w:rPr>
      </w:pPr>
      <w:r>
        <w:rPr>
          <w:rFonts w:eastAsia="Arial" w:cs="Arial" w:ascii="Arial" w:hAnsi="Arial"/>
          <w:b/>
          <w:bCs/>
          <w:color w:val="595959"/>
          <w:sz w:val="24"/>
          <w:szCs w:val="24"/>
        </w:rPr>
        <w:t>11.5 Sending SMS via Workflow (Requires Advanced Pack)</w:t>
      </w:r>
    </w:p>
    <w:p>
      <w:pPr>
        <w:pStyle w:val="Normal"/>
        <w:bidi w:val="0"/>
        <w:spacing w:before="0" w:after="120"/>
        <w:jc w:val="start"/>
        <w:rPr>
          <w:rFonts w:ascii="Arial" w:hAnsi="Arial" w:eastAsia="Arial" w:cs="Arial"/>
          <w:sz w:val="22"/>
          <w:szCs w:val="22"/>
        </w:rPr>
      </w:pPr>
      <w:r>
        <w:rPr>
          <w:rFonts w:eastAsia="Arial" w:cs="Arial"/>
          <w:sz w:val="22"/>
          <w:szCs w:val="22"/>
        </w:rPr>
        <w:t>With the Workflow tool and the Advanced Pack extension, EspoCRM can be configured to send SMS notifications automatically when specific conditions are met. To set this up:</w:t>
      </w:r>
    </w:p>
    <w:p>
      <w:pPr>
        <w:pStyle w:val="Normal"/>
        <w:bidi w:val="0"/>
        <w:jc w:val="start"/>
        <w:rPr/>
      </w:pPr>
      <w:r>
        <w:rPr/>
      </w:r>
    </w:p>
    <w:p>
      <w:pPr>
        <w:pStyle w:val="ListParagraph"/>
        <w:numPr>
          <w:ilvl w:val="0"/>
          <w:numId w:val="178"/>
        </w:numPr>
        <w:bidi w:val="0"/>
        <w:spacing w:before="0" w:after="100"/>
        <w:jc w:val="start"/>
        <w:rPr>
          <w:rFonts w:ascii="Arial" w:hAnsi="Arial" w:eastAsia="Arial" w:cs="Arial"/>
          <w:sz w:val="22"/>
          <w:szCs w:val="22"/>
        </w:rPr>
      </w:pPr>
      <w:r>
        <w:rPr>
          <w:rFonts w:eastAsia="Arial" w:cs="Arial"/>
          <w:sz w:val="22"/>
          <w:szCs w:val="22"/>
        </w:rPr>
        <w:t>Create a new Workflow rule with the desired trigger type and conditions (e.g., when an Engagement status changes to Active).</w:t>
      </w:r>
    </w:p>
    <w:p>
      <w:pPr>
        <w:pStyle w:val="ListParagraph"/>
        <w:numPr>
          <w:ilvl w:val="0"/>
          <w:numId w:val="179"/>
        </w:numPr>
        <w:bidi w:val="0"/>
        <w:spacing w:before="0" w:after="100"/>
        <w:jc w:val="start"/>
        <w:rPr>
          <w:rFonts w:ascii="Arial" w:hAnsi="Arial" w:eastAsia="Arial" w:cs="Arial"/>
          <w:sz w:val="22"/>
          <w:szCs w:val="22"/>
        </w:rPr>
      </w:pPr>
      <w:r>
        <w:rPr>
          <w:rFonts w:eastAsia="Arial" w:cs="Arial"/>
          <w:sz w:val="22"/>
          <w:szCs w:val="22"/>
        </w:rPr>
        <w:t>Add an Execute Formula Script action to the workflow.</w:t>
      </w:r>
    </w:p>
    <w:p>
      <w:pPr>
        <w:pStyle w:val="ListParagraph"/>
        <w:numPr>
          <w:ilvl w:val="0"/>
          <w:numId w:val="180"/>
        </w:numPr>
        <w:bidi w:val="0"/>
        <w:spacing w:before="0" w:after="100"/>
        <w:jc w:val="start"/>
        <w:rPr>
          <w:rFonts w:ascii="Arial" w:hAnsi="Arial" w:eastAsia="Arial" w:cs="Arial"/>
          <w:sz w:val="22"/>
          <w:szCs w:val="22"/>
        </w:rPr>
      </w:pPr>
      <w:r>
        <w:rPr>
          <w:rFonts w:eastAsia="Arial" w:cs="Arial"/>
          <w:sz w:val="22"/>
          <w:szCs w:val="22"/>
        </w:rPr>
        <w:t>Paste a formula script that creates an SMS record and sends it. A basic example:</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$body = 'Hi! This is an SMS notification from EspoCRM.';</w:t>
            </w:r>
          </w:p>
          <w:p>
            <w:pPr>
              <w:pStyle w:val="Normal"/>
              <w:bidi w:val="0"/>
              <w:jc w:val="start"/>
              <w:rPr/>
            </w:pPr>
            <w:r>
              <w:rPr/>
            </w:r>
          </w:p>
          <w:p>
            <w:pPr>
              <w:pStyle w:val="Normal"/>
              <w:bidi w:val="0"/>
              <w:jc w:val="start"/>
              <w:rPr>
                <w:rFonts w:ascii="Courier New" w:hAnsi="Courier New" w:eastAsia="Courier New" w:cs="Courier New"/>
                <w:color w:val="666666"/>
                <w:sz w:val="18"/>
                <w:szCs w:val="18"/>
              </w:rPr>
            </w:pPr>
            <w:r>
              <w:rPr>
                <w:rFonts w:eastAsia="Courier New" w:cs="Courier New" w:ascii="Courier New" w:hAnsi="Courier New"/>
                <w:color w:val="666666"/>
                <w:sz w:val="18"/>
                <w:szCs w:val="18"/>
              </w:rPr>
              <w:t>// Phone number is obtained from the entity.</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$phoneNumber = phoneNumber;</w:t>
            </w:r>
          </w:p>
          <w:p>
            <w:pPr>
              <w:pStyle w:val="Normal"/>
              <w:bidi w:val="0"/>
              <w:jc w:val="start"/>
              <w:rPr/>
            </w:pPr>
            <w:r>
              <w:rPr/>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$smsId = record\create(</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'Sms',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'to', $phoneNumber,</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r>
              <w:rPr>
                <w:rFonts w:eastAsia="Courier New" w:cs="Courier New" w:ascii="Courier New" w:hAnsi="Courier New"/>
                <w:sz w:val="18"/>
                <w:szCs w:val="18"/>
              </w:rPr>
              <w:t>'body', $body</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p>
            <w:pPr>
              <w:pStyle w:val="Normal"/>
              <w:bidi w:val="0"/>
              <w:jc w:val="start"/>
              <w:rPr/>
            </w:pPr>
            <w:r>
              <w:rPr/>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ext\sms\send($smsId);</w:t>
            </w:r>
          </w:p>
        </w:tc>
      </w:tr>
    </w:tbl>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The Advanced Pack extension is required to use Workflows in EspoCRM. Confirm this extension is installed before attempting to configure workflow-based SMS sending.</w:t>
            </w:r>
          </w:p>
        </w:tc>
      </w:tr>
    </w:tbl>
    <w:p>
      <w:pPr>
        <w:pStyle w:val="Normal"/>
        <w:bidi w:val="0"/>
        <w:jc w:val="start"/>
        <w:rPr/>
      </w:pPr>
      <w:r>
        <w:rPr/>
      </w:r>
    </w:p>
    <w:p>
      <w:pPr>
        <w:pStyle w:val="Heading1"/>
        <w:bidi w:val="0"/>
        <w:ind w:hanging="0" w:start="0"/>
        <w:jc w:val="start"/>
        <w:rPr>
          <w:rFonts w:ascii="Arial" w:hAnsi="Arial" w:eastAsia="Arial" w:cs="Arial"/>
          <w:b/>
          <w:bCs/>
          <w:color w:val="2E75B6"/>
          <w:sz w:val="32"/>
          <w:szCs w:val="32"/>
        </w:rPr>
      </w:pPr>
      <w:r>
        <w:rPr>
          <w:rFonts w:eastAsia="Arial" w:cs="Arial" w:ascii="Arial" w:hAnsi="Arial"/>
          <w:b/>
          <w:bCs/>
          <w:color w:val="2E75B6"/>
          <w:sz w:val="32"/>
          <w:szCs w:val="32"/>
        </w:rPr>
        <w:t>Questions for Research</w:t>
      </w:r>
    </w:p>
    <w:p>
      <w:pPr>
        <w:pStyle w:val="Normal"/>
        <w:bidi w:val="0"/>
        <w:jc w:val="start"/>
        <w:rPr/>
      </w:pPr>
      <w:r>
        <w:rPr/>
      </w:r>
    </w:p>
    <w:p>
      <w:pPr>
        <w:pStyle w:val="Normal"/>
        <w:bidi w:val="0"/>
        <w:spacing w:before="0" w:after="120"/>
        <w:jc w:val="start"/>
        <w:rPr/>
      </w:pPr>
      <w:r>
        <w:rPr>
          <w:rFonts w:eastAsia="Arial" w:cs="Arial"/>
          <w:sz w:val="22"/>
          <w:szCs w:val="22"/>
        </w:rPr>
        <w:t>The following questions arose during configuration and require further research before they can be documented as How To steps.</w:t>
      </w:r>
    </w:p>
    <w:p>
      <w:pPr>
        <w:pStyle w:val="Normal"/>
        <w:bidi w:val="0"/>
        <w:jc w:val="start"/>
        <w:rPr/>
      </w:pPr>
      <w:r>
        <w:rPr/>
      </w:r>
    </w:p>
    <w:p>
      <w:pPr>
        <w:pStyle w:val="ListParagraph"/>
        <w:numPr>
          <w:ilvl w:val="0"/>
          <w:numId w:val="181"/>
        </w:numPr>
        <w:bidi w:val="0"/>
        <w:spacing w:before="0" w:after="80"/>
        <w:jc w:val="start"/>
        <w:rPr>
          <w:rFonts w:ascii="Arial" w:hAnsi="Arial" w:eastAsia="Arial" w:cs="Arial"/>
          <w:sz w:val="22"/>
          <w:szCs w:val="22"/>
        </w:rPr>
      </w:pPr>
      <w:r>
        <w:rPr>
          <w:rFonts w:eastAsia="Arial" w:cs="Arial"/>
          <w:sz w:val="22"/>
          <w:szCs w:val="22"/>
        </w:rPr>
        <w:t>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182"/>
        </w:numPr>
        <w:bidi w:val="0"/>
        <w:spacing w:before="0" w:after="80"/>
        <w:jc w:val="start"/>
        <w:rPr>
          <w:rFonts w:ascii="Arial" w:hAnsi="Arial" w:eastAsia="Arial" w:cs="Arial"/>
          <w:sz w:val="22"/>
          <w:szCs w:val="22"/>
        </w:rPr>
      </w:pPr>
      <w:r>
        <w:rPr>
          <w:rFonts w:eastAsia="Arial" w:cs="Arial"/>
          <w:sz w:val="22"/>
          <w:szCs w:val="22"/>
        </w:rPr>
        <w:t>How to create a system-level saved search (shared view) — when saving a search/filter in EspoCRM, the path for making it available to all users rather than just the creator needs to be identified and documented.</w:t>
      </w:r>
    </w:p>
    <w:p>
      <w:pPr>
        <w:pStyle w:val="ListParagraph"/>
        <w:numPr>
          <w:ilvl w:val="0"/>
          <w:numId w:val="183"/>
        </w:numPr>
        <w:bidi w:val="0"/>
        <w:spacing w:before="0" w:after="80"/>
        <w:jc w:val="start"/>
        <w:rPr>
          <w:rFonts w:ascii="Arial" w:hAnsi="Arial" w:eastAsia="Arial" w:cs="Arial"/>
          <w:sz w:val="22"/>
          <w:szCs w:val="22"/>
        </w:rPr>
      </w:pPr>
      <w:r>
        <w:rPr>
          <w:rFonts w:eastAsia="Arial" w:cs="Arial"/>
          <w:sz w:val="22"/>
          <w:szCs w:val="22"/>
        </w:rPr>
        <w:t>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184"/>
        </w:numPr>
        <w:bidi w:val="0"/>
        <w:spacing w:before="0" w:after="80"/>
        <w:jc w:val="start"/>
        <w:rPr>
          <w:rFonts w:ascii="Arial" w:hAnsi="Arial" w:eastAsia="Arial" w:cs="Arial"/>
          <w:sz w:val="22"/>
          <w:szCs w:val="22"/>
        </w:rPr>
      </w:pPr>
      <w:r>
        <w:rPr>
          <w:rFonts w:eastAsia="Arial" w:cs="Arial"/>
          <w:sz w:val="22"/>
          <w:szCs w:val="22"/>
        </w:rPr>
        <w:t>How to add a filtered view to the left navigation menu alongside other entities — for example, adding a ‘My Engagements’ or ‘Client Companies’ entry to the left column that opens a pre-filtered list view. No admin UI path has been identified for this. It likely requires custom development such as a Custom View or metadata configuration, but the exact approach needs to be researched and documented.</w:t>
      </w:r>
    </w:p>
    <w:p>
      <w:pPr>
        <w:pStyle w:val="ListParagraph"/>
        <w:numPr>
          <w:ilvl w:val="0"/>
          <w:numId w:val="185"/>
        </w:numPr>
        <w:bidi w:val="0"/>
        <w:spacing w:before="0" w:after="80"/>
        <w:jc w:val="start"/>
        <w:rPr>
          <w:rFonts w:ascii="Arial" w:hAnsi="Arial" w:eastAsia="Arial" w:cs="Arial"/>
          <w:sz w:val="22"/>
          <w:szCs w:val="22"/>
        </w:rPr>
      </w:pPr>
      <w:r>
        <w:rPr>
          <w:rFonts w:eastAsia="Arial" w:cs="Arial"/>
          <w:sz w:val="22"/>
          <w:szCs w:val="22"/>
        </w:rPr>
        <w:t>Whether EspoCRM supports multiple list views with different column layouts for different types within the same entity — for example, showing different columns for Client Companies vs Partner Companies. Saved search filters can show different subsets of records but cannot change the column layout per type. EspoCRM does support Custom Views (a developer-level JavaScript customization) that could dynamically show different columns based on a field value, but this requires writing and maintaining custom JS files on the server — similar in complexity to the Dynamic Handler approach. This is not a practical solution for most admin use cases and should be considered only if the difference in fields between types is significant enough to justify the development effort.</w:t>
      </w:r>
    </w:p>
    <w:p>
      <w:pPr>
        <w:pStyle w:val="ListParagraph"/>
        <w:numPr>
          <w:ilvl w:val="0"/>
          <w:numId w:val="186"/>
        </w:numPr>
        <w:bidi w:val="0"/>
        <w:spacing w:before="0" w:after="80"/>
        <w:jc w:val="start"/>
        <w:rPr>
          <w:rFonts w:ascii="Arial" w:hAnsi="Arial" w:eastAsia="Arial" w:cs="Arial"/>
          <w:sz w:val="22"/>
          <w:szCs w:val="22"/>
        </w:rPr>
      </w:pPr>
      <w:r>
        <w:rPr>
          <w:rFonts w:eastAsia="Arial" w:cs="Arial"/>
          <w:sz w:val="22"/>
          <w:szCs w:val="22"/>
        </w:rPr>
        <w:t>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187"/>
        </w:numPr>
        <w:bidi w:val="0"/>
        <w:spacing w:before="0" w:after="80"/>
        <w:jc w:val="start"/>
        <w:rPr>
          <w:rFonts w:ascii="Arial" w:hAnsi="Arial" w:eastAsia="Arial" w:cs="Arial"/>
          <w:sz w:val="22"/>
          <w:szCs w:val="22"/>
        </w:rPr>
      </w:pPr>
      <w:r>
        <w:rPr>
          <w:rFonts w:eastAsia="Arial" w:cs="Arial"/>
          <w:sz w:val="22"/>
          <w:szCs w:val="22"/>
        </w:rPr>
        <w:t>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188"/>
        </w:numPr>
        <w:bidi w:val="0"/>
        <w:spacing w:before="0" w:after="80"/>
        <w:jc w:val="start"/>
        <w:rPr>
          <w:rFonts w:ascii="Arial" w:hAnsi="Arial" w:eastAsia="Arial" w:cs="Arial"/>
          <w:sz w:val="22"/>
          <w:szCs w:val="22"/>
        </w:rPr>
      </w:pPr>
      <w:r>
        <w:rPr>
          <w:rFonts w:eastAsia="Arial" w:cs="Arial"/>
          <w:sz w:val="22"/>
          <w:szCs w:val="22"/>
        </w:rPr>
        <w:t>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pPr>
        <w:pStyle w:val="ListParagraph"/>
        <w:numPr>
          <w:ilvl w:val="0"/>
          <w:numId w:val="189"/>
        </w:numPr>
        <w:bidi w:val="0"/>
        <w:spacing w:before="0" w:after="80"/>
        <w:jc w:val="start"/>
        <w:rPr>
          <w:rFonts w:ascii="Arial" w:hAnsi="Arial" w:eastAsia="Arial" w:cs="Arial"/>
          <w:sz w:val="22"/>
          <w:szCs w:val="22"/>
        </w:rPr>
      </w:pPr>
      <w:r>
        <w:rPr>
          <w:rFonts w:eastAsia="Arial" w:cs="Arial"/>
          <w:sz w:val="22"/>
          <w:szCs w:val="22"/>
        </w:rPr>
        <w:t>How do users add notes to a record — the Note entity exists in Entity Manager as a system-level entity with limited configurability (Fields only, no Layouts or Relationships tabs). It likely powers an activity stream or notes panel on record detail pages, but the exact user-facing path for posting notes, attaching files, and viewing note history on a record needs to be identified and documented.</w:t>
      </w:r>
    </w:p>
    <w:p>
      <w:pPr>
        <w:pStyle w:val="Normal"/>
        <w:bidi w:val="0"/>
        <w:jc w:val="start"/>
        <w:rPr/>
      </w:pPr>
      <w:r>
        <w:rPr/>
      </w:r>
    </w:p>
    <w:p>
      <w:pPr>
        <w:pStyle w:val="Heading2"/>
        <w:numPr>
          <w:ilvl w:val="0"/>
          <w:numId w:val="0"/>
        </w:numPr>
        <w:bidi w:val="0"/>
        <w:spacing w:before="240" w:after="120"/>
        <w:ind w:hanging="0" w:start="0"/>
        <w:jc w:val="start"/>
        <w:rPr/>
      </w:pPr>
      <w:r>
        <w:rPr>
          <w:rFonts w:eastAsia="Arial" w:cs="Arial" w:ascii="Arial" w:hAnsi="Arial"/>
          <w:b/>
          <w:bCs/>
          <w:color w:val="2E75B6"/>
          <w:sz w:val="26"/>
          <w:szCs w:val="26"/>
        </w:rPr>
        <w:t>Change Log</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1199"/>
        <w:gridCol w:w="1699"/>
        <w:gridCol w:w="2202"/>
        <w:gridCol w:w="4259"/>
      </w:tblGrid>
      <w:tr>
        <w:trPr/>
        <w:tc>
          <w:tcPr>
            <w:tcW w:w="11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Version</w:t>
            </w:r>
          </w:p>
        </w:tc>
        <w:tc>
          <w:tcPr>
            <w:tcW w:w="16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Date</w:t>
            </w:r>
          </w:p>
        </w:tc>
        <w:tc>
          <w:tcPr>
            <w:tcW w:w="2202"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Author</w:t>
            </w:r>
          </w:p>
        </w:tc>
        <w:tc>
          <w:tcPr>
            <w:tcW w:w="425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Description</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2.0</w:t>
            </w:r>
          </w:p>
        </w:tc>
        <w:tc>
          <w:tcPr>
            <w:tcW w:w="16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05-20-26 05:45</w:t>
            </w:r>
          </w:p>
        </w:tc>
        <w:tc>
          <w:tcPr>
            <w:tcW w:w="22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Document rebuilt from May 11 backup after file corruption. Added Sections 12 (EspoCRM Security Concepts) and 13 (CBM Security Implementation) under the existing Security Configuration heading. Saved as proper binary .docx to prevent recurrence.</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1.0</w:t>
            </w:r>
          </w:p>
        </w:tc>
        <w:tc>
          <w:tcPr>
            <w:tcW w:w="16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05-05-26 11:03</w:t>
            </w:r>
          </w:p>
        </w:tc>
        <w:tc>
          <w:tcPr>
            <w:tcW w:w="22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Initial baseline — existing content prior to revision control adoption.</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1.1</w:t>
            </w:r>
          </w:p>
        </w:tc>
        <w:tc>
          <w:tcPr>
            <w:tcW w:w="16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05-05-26 11:03</w:t>
            </w:r>
          </w:p>
        </w:tc>
        <w:tc>
          <w:tcPr>
            <w:tcW w:w="22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1.2 "Entity Types"; renumbered subsequent subsections in Section 1; updated Type-field note in the entity-creation procedure.</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1.2</w:t>
            </w:r>
          </w:p>
        </w:tc>
        <w:tc>
          <w:tcPr>
            <w:tcW w:w="16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05-10-26 04:27</w:t>
            </w:r>
          </w:p>
        </w:tc>
        <w:tc>
          <w:tcPr>
            <w:tcW w:w="22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2.8 "Foreign Fields — Displaying Linked Entity Data" covering concept, configuration steps, an Engagement-to-Mentor example, and operational constraints.</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1.3</w:t>
            </w:r>
          </w:p>
        </w:tc>
        <w:tc>
          <w:tcPr>
            <w:tcW w:w="16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05-11-26 19:21</w:t>
            </w:r>
          </w:p>
        </w:tc>
        <w:tc>
          <w:tcPr>
            <w:tcW w:w="2202"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5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2.9 "One-to-One Relationships — In Depth" covering definition, the One-to-One Right vs One-to-One Left decision, what EspoCRM creates under the hood, uniqueness enforcement, step-by-step creation, a Contact-to-Mailing-Platform-Profile example, foreign fields across the link, and pitfalls including when NOT to use one-to-one.</w:t>
            </w:r>
          </w:p>
        </w:tc>
      </w:tr>
    </w:tbl>
    <w:p>
      <w:pPr>
        <w:pStyle w:val="Normal"/>
        <w:bidi w:val="0"/>
        <w:jc w:val="start"/>
        <w:rPr/>
      </w:pPr>
      <w:r>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Courier New">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7"/>
    <w:lvlOverride w:ilvl="0">
      <w:startOverride w:val="1"/>
    </w:lvlOverride>
  </w:num>
  <w:num w:numId="11">
    <w:abstractNumId w:val="7"/>
  </w:num>
  <w:num w:numId="12">
    <w:abstractNumId w:val="7"/>
  </w:num>
  <w:num w:numId="13">
    <w:abstractNumId w:val="7"/>
  </w:num>
  <w:num w:numId="14">
    <w:abstractNumId w:val="7"/>
  </w:num>
  <w:num w:numId="15">
    <w:abstractNumId w:val="7"/>
  </w:num>
  <w:num w:numId="16">
    <w:abstractNumId w:val="7"/>
  </w:num>
  <w:num w:numId="17">
    <w:abstractNumId w:val="8"/>
    <w:lvlOverride w:ilvl="0">
      <w:startOverride w:val="1"/>
    </w:lvlOverride>
  </w:num>
  <w:num w:numId="18">
    <w:abstractNumId w:val="8"/>
  </w:num>
  <w:num w:numId="19">
    <w:abstractNumId w:val="8"/>
  </w:num>
  <w:num w:numId="20">
    <w:abstractNumId w:val="8"/>
  </w:num>
  <w:num w:numId="21">
    <w:abstractNumId w:val="8"/>
  </w:num>
  <w:num w:numId="22">
    <w:abstractNumId w:val="8"/>
  </w:num>
  <w:num w:numId="23">
    <w:abstractNumId w:val="8"/>
  </w:num>
  <w:num w:numId="24">
    <w:abstractNumId w:val="8"/>
  </w:num>
  <w:num w:numId="25">
    <w:abstractNumId w:val="7"/>
  </w:num>
  <w:num w:numId="26">
    <w:abstractNumId w:val="7"/>
  </w:num>
  <w:num w:numId="27">
    <w:abstractNumId w:val="7"/>
  </w:num>
  <w:num w:numId="28">
    <w:abstractNumId w:val="7"/>
  </w:num>
  <w:num w:numId="29">
    <w:abstractNumId w:val="7"/>
  </w:num>
  <w:num w:numId="30">
    <w:abstractNumId w:val="7"/>
  </w:num>
  <w:num w:numId="31">
    <w:abstractNumId w:val="7"/>
  </w:num>
  <w:num w:numId="32">
    <w:abstractNumId w:val="7"/>
  </w:num>
  <w:num w:numId="33">
    <w:abstractNumId w:val="7"/>
  </w:num>
  <w:num w:numId="34">
    <w:abstractNumId w:val="7"/>
  </w:num>
  <w:num w:numId="35">
    <w:abstractNumId w:val="7"/>
  </w:num>
  <w:num w:numId="36">
    <w:abstractNumId w:val="7"/>
  </w:num>
  <w:num w:numId="37">
    <w:abstractNumId w:val="7"/>
  </w:num>
  <w:num w:numId="38">
    <w:abstractNumId w:val="7"/>
  </w:num>
  <w:num w:numId="39">
    <w:abstractNumId w:val="7"/>
  </w:num>
  <w:num w:numId="40">
    <w:abstractNumId w:val="7"/>
  </w:num>
  <w:num w:numId="41">
    <w:abstractNumId w:val="8"/>
  </w:num>
  <w:num w:numId="42">
    <w:abstractNumId w:val="8"/>
  </w:num>
  <w:num w:numId="43">
    <w:abstractNumId w:val="8"/>
  </w:num>
  <w:num w:numId="44">
    <w:abstractNumId w:val="8"/>
  </w:num>
  <w:num w:numId="45">
    <w:abstractNumId w:val="8"/>
  </w:num>
  <w:num w:numId="46">
    <w:abstractNumId w:val="8"/>
  </w:num>
  <w:num w:numId="47">
    <w:abstractNumId w:val="8"/>
  </w:num>
  <w:num w:numId="48">
    <w:abstractNumId w:val="8"/>
  </w:num>
  <w:num w:numId="49">
    <w:abstractNumId w:val="8"/>
  </w:num>
  <w:num w:numId="50">
    <w:abstractNumId w:val="8"/>
  </w:num>
  <w:num w:numId="51">
    <w:abstractNumId w:val="8"/>
  </w:num>
  <w:num w:numId="52">
    <w:abstractNumId w:val="8"/>
  </w:num>
  <w:num w:numId="53">
    <w:abstractNumId w:val="7"/>
  </w:num>
  <w:num w:numId="54">
    <w:abstractNumId w:val="7"/>
  </w:num>
  <w:num w:numId="55">
    <w:abstractNumId w:val="7"/>
  </w:num>
  <w:num w:numId="56">
    <w:abstractNumId w:val="7"/>
  </w:num>
  <w:num w:numId="57">
    <w:abstractNumId w:val="7"/>
  </w:num>
  <w:num w:numId="58">
    <w:abstractNumId w:val="7"/>
  </w:num>
  <w:num w:numId="59">
    <w:abstractNumId w:val="7"/>
  </w:num>
  <w:num w:numId="60">
    <w:abstractNumId w:val="7"/>
  </w:num>
  <w:num w:numId="61">
    <w:abstractNumId w:val="7"/>
  </w:num>
  <w:num w:numId="62">
    <w:abstractNumId w:val="7"/>
  </w:num>
  <w:num w:numId="63">
    <w:abstractNumId w:val="7"/>
  </w:num>
  <w:num w:numId="64">
    <w:abstractNumId w:val="7"/>
  </w:num>
  <w:num w:numId="65">
    <w:abstractNumId w:val="7"/>
  </w:num>
  <w:num w:numId="66">
    <w:abstractNumId w:val="7"/>
  </w:num>
  <w:num w:numId="67">
    <w:abstractNumId w:val="7"/>
  </w:num>
  <w:num w:numId="68">
    <w:abstractNumId w:val="7"/>
  </w:num>
  <w:num w:numId="69">
    <w:abstractNumId w:val="7"/>
  </w:num>
  <w:num w:numId="70">
    <w:abstractNumId w:val="7"/>
  </w:num>
  <w:num w:numId="71">
    <w:abstractNumId w:val="7"/>
  </w:num>
  <w:num w:numId="72">
    <w:abstractNumId w:val="7"/>
  </w:num>
  <w:num w:numId="73">
    <w:abstractNumId w:val="7"/>
  </w:num>
  <w:num w:numId="74">
    <w:abstractNumId w:val="7"/>
  </w:num>
  <w:num w:numId="75">
    <w:abstractNumId w:val="7"/>
  </w:num>
  <w:num w:numId="76">
    <w:abstractNumId w:val="7"/>
  </w:num>
  <w:num w:numId="77">
    <w:abstractNumId w:val="7"/>
  </w:num>
  <w:num w:numId="78">
    <w:abstractNumId w:val="7"/>
  </w:num>
  <w:num w:numId="79">
    <w:abstractNumId w:val="7"/>
  </w:num>
  <w:num w:numId="80">
    <w:abstractNumId w:val="7"/>
  </w:num>
  <w:num w:numId="81">
    <w:abstractNumId w:val="7"/>
  </w:num>
  <w:num w:numId="82">
    <w:abstractNumId w:val="7"/>
  </w:num>
  <w:num w:numId="83">
    <w:abstractNumId w:val="7"/>
  </w:num>
  <w:num w:numId="84">
    <w:abstractNumId w:val="7"/>
  </w:num>
  <w:num w:numId="85">
    <w:abstractNumId w:val="7"/>
  </w:num>
  <w:num w:numId="86">
    <w:abstractNumId w:val="7"/>
  </w:num>
  <w:num w:numId="87">
    <w:abstractNumId w:val="7"/>
  </w:num>
  <w:num w:numId="88">
    <w:abstractNumId w:val="7"/>
  </w:num>
  <w:num w:numId="89">
    <w:abstractNumId w:val="7"/>
  </w:num>
  <w:num w:numId="90">
    <w:abstractNumId w:val="7"/>
  </w:num>
  <w:num w:numId="91">
    <w:abstractNumId w:val="7"/>
  </w:num>
  <w:num w:numId="92">
    <w:abstractNumId w:val="7"/>
  </w:num>
  <w:num w:numId="93">
    <w:abstractNumId w:val="7"/>
  </w:num>
  <w:num w:numId="94">
    <w:abstractNumId w:val="7"/>
  </w:num>
  <w:num w:numId="95">
    <w:abstractNumId w:val="8"/>
  </w:num>
  <w:num w:numId="96">
    <w:abstractNumId w:val="8"/>
  </w:num>
  <w:num w:numId="97">
    <w:abstractNumId w:val="8"/>
  </w:num>
  <w:num w:numId="98">
    <w:abstractNumId w:val="7"/>
  </w:num>
  <w:num w:numId="99">
    <w:abstractNumId w:val="7"/>
  </w:num>
  <w:num w:numId="100">
    <w:abstractNumId w:val="7"/>
  </w:num>
  <w:num w:numId="101">
    <w:abstractNumId w:val="7"/>
  </w:num>
  <w:num w:numId="102">
    <w:abstractNumId w:val="7"/>
  </w:num>
  <w:num w:numId="103">
    <w:abstractNumId w:val="7"/>
  </w:num>
  <w:num w:numId="104">
    <w:abstractNumId w:val="7"/>
  </w:num>
  <w:num w:numId="105">
    <w:abstractNumId w:val="7"/>
  </w:num>
  <w:num w:numId="106">
    <w:abstractNumId w:val="7"/>
  </w:num>
  <w:num w:numId="107">
    <w:abstractNumId w:val="7"/>
  </w:num>
  <w:num w:numId="108">
    <w:abstractNumId w:val="7"/>
  </w:num>
  <w:num w:numId="109">
    <w:abstractNumId w:val="7"/>
  </w:num>
  <w:num w:numId="110">
    <w:abstractNumId w:val="7"/>
  </w:num>
  <w:num w:numId="111">
    <w:abstractNumId w:val="7"/>
  </w:num>
  <w:num w:numId="112">
    <w:abstractNumId w:val="7"/>
  </w:num>
  <w:num w:numId="113">
    <w:abstractNumId w:val="7"/>
  </w:num>
  <w:num w:numId="114">
    <w:abstractNumId w:val="7"/>
  </w:num>
  <w:num w:numId="115">
    <w:abstractNumId w:val="7"/>
  </w:num>
  <w:num w:numId="116">
    <w:abstractNumId w:val="7"/>
  </w:num>
  <w:num w:numId="117">
    <w:abstractNumId w:val="7"/>
  </w:num>
  <w:num w:numId="118">
    <w:abstractNumId w:val="7"/>
  </w:num>
  <w:num w:numId="119">
    <w:abstractNumId w:val="7"/>
  </w:num>
  <w:num w:numId="120">
    <w:abstractNumId w:val="7"/>
  </w:num>
  <w:num w:numId="121">
    <w:abstractNumId w:val="7"/>
  </w:num>
  <w:num w:numId="122">
    <w:abstractNumId w:val="7"/>
  </w:num>
  <w:num w:numId="123">
    <w:abstractNumId w:val="7"/>
  </w:num>
  <w:num w:numId="124">
    <w:abstractNumId w:val="7"/>
  </w:num>
  <w:num w:numId="125">
    <w:abstractNumId w:val="7"/>
  </w:num>
  <w:num w:numId="126">
    <w:abstractNumId w:val="7"/>
  </w:num>
  <w:num w:numId="127">
    <w:abstractNumId w:val="8"/>
  </w:num>
  <w:num w:numId="128">
    <w:abstractNumId w:val="8"/>
  </w:num>
  <w:num w:numId="129">
    <w:abstractNumId w:val="8"/>
  </w:num>
  <w:num w:numId="130">
    <w:abstractNumId w:val="8"/>
  </w:num>
  <w:num w:numId="131">
    <w:abstractNumId w:val="7"/>
  </w:num>
  <w:num w:numId="132">
    <w:abstractNumId w:val="7"/>
  </w:num>
  <w:num w:numId="133">
    <w:abstractNumId w:val="7"/>
  </w:num>
  <w:num w:numId="134">
    <w:abstractNumId w:val="8"/>
  </w:num>
  <w:num w:numId="135">
    <w:abstractNumId w:val="8"/>
  </w:num>
  <w:num w:numId="136">
    <w:abstractNumId w:val="8"/>
  </w:num>
  <w:num w:numId="137">
    <w:abstractNumId w:val="8"/>
  </w:num>
  <w:num w:numId="138">
    <w:abstractNumId w:val="8"/>
  </w:num>
  <w:num w:numId="139">
    <w:abstractNumId w:val="8"/>
  </w:num>
  <w:num w:numId="140">
    <w:abstractNumId w:val="8"/>
  </w:num>
  <w:num w:numId="141">
    <w:abstractNumId w:val="8"/>
  </w:num>
  <w:num w:numId="142">
    <w:abstractNumId w:val="7"/>
  </w:num>
  <w:num w:numId="143">
    <w:abstractNumId w:val="7"/>
  </w:num>
  <w:num w:numId="144">
    <w:abstractNumId w:val="7"/>
  </w:num>
  <w:num w:numId="145">
    <w:abstractNumId w:val="7"/>
  </w:num>
  <w:num w:numId="146">
    <w:abstractNumId w:val="7"/>
  </w:num>
  <w:num w:numId="147">
    <w:abstractNumId w:val="7"/>
  </w:num>
  <w:num w:numId="148">
    <w:abstractNumId w:val="7"/>
  </w:num>
  <w:num w:numId="149">
    <w:abstractNumId w:val="8"/>
  </w:num>
  <w:num w:numId="150">
    <w:abstractNumId w:val="8"/>
  </w:num>
  <w:num w:numId="151">
    <w:abstractNumId w:val="8"/>
  </w:num>
  <w:num w:numId="152">
    <w:abstractNumId w:val="8"/>
  </w:num>
  <w:num w:numId="153">
    <w:abstractNumId w:val="8"/>
  </w:num>
  <w:num w:numId="154">
    <w:abstractNumId w:val="8"/>
  </w:num>
  <w:num w:numId="155">
    <w:abstractNumId w:val="8"/>
  </w:num>
  <w:num w:numId="156">
    <w:abstractNumId w:val="8"/>
  </w:num>
  <w:num w:numId="157">
    <w:abstractNumId w:val="8"/>
  </w:num>
  <w:num w:numId="158">
    <w:abstractNumId w:val="8"/>
  </w:num>
  <w:num w:numId="159">
    <w:abstractNumId w:val="8"/>
  </w:num>
  <w:num w:numId="160">
    <w:abstractNumId w:val="8"/>
  </w:num>
  <w:num w:numId="161">
    <w:abstractNumId w:val="7"/>
  </w:num>
  <w:num w:numId="162">
    <w:abstractNumId w:val="7"/>
  </w:num>
  <w:num w:numId="163">
    <w:abstractNumId w:val="7"/>
  </w:num>
  <w:num w:numId="164">
    <w:abstractNumId w:val="7"/>
  </w:num>
  <w:num w:numId="165">
    <w:abstractNumId w:val="7"/>
  </w:num>
  <w:num w:numId="166">
    <w:abstractNumId w:val="7"/>
  </w:num>
  <w:num w:numId="167">
    <w:abstractNumId w:val="7"/>
  </w:num>
  <w:num w:numId="168">
    <w:abstractNumId w:val="8"/>
  </w:num>
  <w:num w:numId="169">
    <w:abstractNumId w:val="8"/>
  </w:num>
  <w:num w:numId="170">
    <w:abstractNumId w:val="8"/>
  </w:num>
  <w:num w:numId="171">
    <w:abstractNumId w:val="8"/>
  </w:num>
  <w:num w:numId="172">
    <w:abstractNumId w:val="8"/>
  </w:num>
  <w:num w:numId="173">
    <w:abstractNumId w:val="8"/>
  </w:num>
  <w:num w:numId="174">
    <w:abstractNumId w:val="8"/>
  </w:num>
  <w:num w:numId="175">
    <w:abstractNumId w:val="8"/>
  </w:num>
  <w:num w:numId="176">
    <w:abstractNumId w:val="8"/>
  </w:num>
  <w:num w:numId="177">
    <w:abstractNumId w:val="8"/>
  </w:num>
  <w:num w:numId="178">
    <w:abstractNumId w:val="8"/>
  </w:num>
  <w:num w:numId="179">
    <w:abstractNumId w:val="8"/>
  </w:num>
  <w:num w:numId="180">
    <w:abstractNumId w:val="8"/>
  </w:num>
  <w:num w:numId="181">
    <w:abstractNumId w:val="7"/>
  </w:num>
  <w:num w:numId="182">
    <w:abstractNumId w:val="7"/>
  </w:num>
  <w:num w:numId="183">
    <w:abstractNumId w:val="7"/>
  </w:num>
  <w:num w:numId="184">
    <w:abstractNumId w:val="7"/>
  </w:num>
  <w:num w:numId="185">
    <w:abstractNumId w:val="7"/>
  </w:num>
  <w:num w:numId="186">
    <w:abstractNumId w:val="7"/>
  </w:num>
  <w:num w:numId="187">
    <w:abstractNumId w:val="7"/>
  </w:num>
  <w:num w:numId="188">
    <w:abstractNumId w:val="7"/>
  </w:num>
  <w:num w:numId="189">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numPr>
        <w:ilvl w:val="0"/>
        <w:numId w:val="0"/>
      </w:numPr>
      <w:spacing w:before="320" w:after="160"/>
      <w:outlineLvl w:val="0"/>
    </w:pPr>
    <w:rPr>
      <w:rFonts w:ascii="Arial" w:hAnsi="Arial" w:eastAsia="Arial" w:cs="Arial"/>
      <w:b/>
      <w:bCs/>
      <w:color w:val="2E75B6"/>
      <w:sz w:val="32"/>
      <w:szCs w:val="32"/>
    </w:rPr>
  </w:style>
  <w:style w:type="paragraph" w:styleId="Heading2">
    <w:name w:val="Heading 2"/>
    <w:basedOn w:val="Heading"/>
    <w:qFormat/>
    <w:pPr>
      <w:numPr>
        <w:ilvl w:val="0"/>
        <w:numId w:val="0"/>
      </w:numPr>
      <w:spacing w:before="240" w:after="120"/>
      <w:outlineLvl w:val="1"/>
    </w:pPr>
    <w:rPr>
      <w:rFonts w:ascii="Arial" w:hAnsi="Arial" w:eastAsia="Arial" w:cs="Arial"/>
      <w:b/>
      <w:bCs/>
      <w:color w:val="2E75B6"/>
      <w:sz w:val="26"/>
      <w:szCs w:val="26"/>
    </w:rPr>
  </w:style>
  <w:style w:type="paragraph" w:styleId="Heading3">
    <w:name w:val="Heading 3"/>
    <w:basedOn w:val="Heading"/>
    <w:qFormat/>
    <w:pPr>
      <w:numPr>
        <w:ilvl w:val="0"/>
        <w:numId w:val="0"/>
      </w:numPr>
      <w:spacing w:before="18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qFormat/>
    <w:rPr>
      <w:sz w:val="20"/>
      <w:szCs w:val="2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suppressAutoHyphens w:val="true"/>
      <w:overflowPunct w:val="false"/>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val="false"/>
      <w:suppressAutoHyphens w:val="true"/>
      <w:overflowPunct w:val="false"/>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pPr>
      <w:spacing w:lineRule="auto" w:line="240" w:before="0" w:after="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487</TotalTime>
  <Application>LibreOffice/24.2.7.2$Linux_X86_64 LibreOffice_project/420$Build-2</Application>
  <AppVersion>15.0000</AppVersion>
  <Pages>45</Pages>
  <Words>14597</Words>
  <Characters>76684</Characters>
  <CharactersWithSpaces>90387</CharactersWithSpaces>
  <Paragraphs>1081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2026-03-26T01:13:19Z</dcterms:created>
  <dc:creator>Un-named</dc:creator>
  <dc:description/>
  <dc:language>en-US</dc:language>
  <cp:lastModifiedBy/>
  <dcterms:modified xsi:type="dcterms:W3CDTF">2026-05-20T21:49:05Z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