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6"/>
          <w:szCs w:val="36"/>
        </w:rPr>
        <w:t xml:space="preserve">Cleveland Business Mentors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8"/>
          <w:szCs w:val="28"/>
        </w:rPr>
        <w:t xml:space="preserve">Mentor Matching (MN-MATCH)</w:t>
      </w:r>
    </w:p>
    <w:p>
      <w:pPr>
        <w:spacing w:after="4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Process Document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Domain</w:t>
            </w:r>
          </w:p>
        </w:tc>
        <w:tc>
          <w:tcPr>
            <w:tcW w:type="dxa" w:w="6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Mentoring (MN)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Process Code</w:t>
            </w:r>
          </w:p>
        </w:tc>
        <w:tc>
          <w:tcPr>
            <w:tcW w:type="dxa" w:w="6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MN-MATCH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6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03-30-26 23:30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Source</w:t>
            </w:r>
          </w:p>
        </w:tc>
        <w:tc>
          <w:tcPr>
            <w:tcW w:type="dxa" w:w="6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Extracted from CBM-Domain-PRD-Mentoring.md v1.0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1. Process Purpose and Trigger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Mentor Matching process begins after the Client Administrator has approved a client intake submission. Its purpose is to identify the most appropriate available mentor for the client and obtain the mentor’s acceptance of the assignment.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process is complete when a mentor has accepted the assignment, set the meeting cadence, and personally introduced themselves to the client. If a mentor declines, the process cycles back to candidate selection until a mentor accepts.</w:t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2. Personas Involved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Client Assignment Coordinator (MST-PER-004)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Searches the mentor roster, evaluates candidates against client needs, nominates the primary mentor and optional co-mentors or subject matter experts, and activates the assignment upon acceptance.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Mentor Administrator (MST-PER-005)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Provides mentor availability and capacity information to support the matching process.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Mentor (MST-PER-011)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Receives the assignment notification, reviews the client summary, and accepts or declines the assignment. Upon acceptance, sets the meeting cadence and personally introduces themselves to the client.</w:t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3. Process Workflow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Client Assignment Coordinator reviews the approved client’s Client Organization record (business description, industry sector, business stage) and Engagement record (mentoring focus areas and mentoring needs description).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Client Assignment Coordinator searches the active mentor roster, filtering by industry expertise, mentoring focus areas, skills and expertise tags, availability, capacity, and language where relevant.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Client Assignment Coordinator selects a primary mentor and optionally one or more co-mentors or subject matter experts.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system verifies each nominated mentor is Active, currently accepting new clients, and has available capacity before the nomination is confirmed.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Engagement status changes to Pending Acceptance.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system sends an automatic notification to the nominated primary mentor with a summary of the client’s intake information and a request to accept or decline the assignment. A configurable acceptance window applies (default: 48 hours).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If the mentor accepts: the Engagement status changes to Assigned and the Client Assignment Coordinator is notified.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If the mentor declines: the Engagement status reverts to Submitted and the Client Assignment Coordinator is notified to nominate a different mentor. No explanation is required from the declining mentor.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If no response is received within the acceptance window: the Client Assignment Coordinator is alerted to follow up or nominate a different mentor.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Upon acceptance, the mentor sets the Meeting Cadence on the Engagement record.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mentor personally introduces themselves to the client via email. The system provides email templates as a starting point. The introduction is sent by the mentor — not auto-generated by the system.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delivery of the Phase 2 supplemental intake form is at the mentor’s discretion. The mentor may include the form link in the introduction email or deploy it after the first session.</w:t>
      </w:r>
    </w:p>
    <w:p>
      <w:pPr>
        <w:spacing w:before="200" w:after="6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Process Workflow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AAAAA" w:sz="1"/>
              <w:left w:val="dashed" w:color="AAAAAA" w:sz="1"/>
              <w:bottom w:val="dashed" w:color="AAAAAA" w:sz="1"/>
              <w:right w:val="dashed" w:color="AAAAAA" w:sz="1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Workflow diagram to be inserted. Export from draw.io as PNG.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4. System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MN-MATCH-REQ-001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support searching and filtering the mentor roster by industry expertise, mentoring focus areas, skills and expertise tags, availability, capacity, and language.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MN-MATCH-REQ-002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prevent nomination of a mentor who is not Active, not accepting new clients, or has no available capacity.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MN-MATCH-REQ-003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support assignment of a primary mentor and optionally one or more co-mentors and subject matter experts per engagement.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MN-MATCH-REQ-004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notify the nominated mentor automatically with client intake summary and accept/decline options.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MN-MATCH-REQ-005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enforce a configurable acceptance window and alert the Client Assignment Coordinator when it expires.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MN-MATCH-REQ-006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revert the Engagement to Submitted status automatically if a mentor declines.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MN-MATCH-REQ-007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record the candidate mentors considered and the rationale for the final selection.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MN-MATCH-REQ-008</w:t>
            </w:r>
          </w:p>
        </w:tc>
        <w:tc>
          <w:tcPr>
            <w:tcW w:type="dxa" w:w="7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system must provide email templates for mentor introduction communications.</w:t>
            </w:r>
          </w:p>
        </w:tc>
      </w:tr>
    </w:tbl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5. Process Data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following fields must already exist for the Mentor Matching process to function. Client Organization and Engagement fields are established by the Client Intake process (MN-INTAKE). Mentor Contact fields are established by the Mentor Recruitment domain (MR).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Entity: Client Organization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800"/>
        <w:gridCol w:w="2400"/>
        <w:gridCol w:w="1000"/>
        <w:gridCol w:w="18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Values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Business Name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MN-MATCH-DAT-001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legal or operating name of the client business. Reviewed by the coordinator to understand the client’s business context.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Website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URL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MN-MATCH-DAT-002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client business website address. Reviewed by the coordinator for additional business context.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MN-MATCH-DAT-003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primary business address. May be relevant for geographic matching considerations.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Organization Type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For-Profit, Non-Profit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MN-MATCH-DAT-004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Whether the organization operates as a for-profit business or a nonprofit. Context for mentor selection.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Business Stage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Pre-Startup, Startup, Early Stage, Growth Stage, Established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MN-MATCH-DAT-005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stage of business development. Used as a matching criterion — mentors with relevant stage experience are preferred.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Industry Sector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 top-level NAICS sectors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MN-MATCH-DAT-006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primary industry sector of the client business. Key matching criterion — compared against the mentor’s Industry Sectors field.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Industry Subsector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~100 subsectors filtered by Industry Sector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MN-MATCH-DAT-007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specific industry subsector. Provides more precise matching beyond the top-level sector.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Entity: Engagement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800"/>
        <w:gridCol w:w="2400"/>
        <w:gridCol w:w="1000"/>
        <w:gridCol w:w="18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Values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Submitted, Declined, Pending Acceptance, Assigned, Active, On-Hold, Dormant, Inactive, Abandoned, Completed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Submitted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MN-MATCH-DAT-008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current lifecycle stage. This process reads Submitted engagements and transitions them through Pending Acceptance to Assigned (or back to Submitted on decline).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Mentoring Focus Areas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Multi-select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TBD — see MN-ISS-001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MN-MATCH-DAT-009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specific areas where the client is seeking mentoring assistance. Primary matching criterion — compared against the mentor’s Mentoring Focus Areas field.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Mentoring Needs Description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Rich text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MN-MATCH-DAT-010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client’s own description of what they are looking for. Reviewed by the coordinator to understand nuances beyond the structured matching fields.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Entity: Mentor Contact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The following fields are defined by the Mentor Recruitment domain (MR) and referenced here for matching purposes.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800"/>
        <w:gridCol w:w="2400"/>
        <w:gridCol w:w="1000"/>
        <w:gridCol w:w="18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Values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Industry Sectors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Multi-select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Same values as Client Organization Industry Sector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MN-MATCH-DAT-011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industry sectors in which the mentor has professional experience. Compared against the client’s Industry Sector for matching.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Mentoring Focus Areas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Multi-select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Same values as Engagement Mentoring Focus Areas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MN-MATCH-DAT-012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specific areas where the mentor can provide guidance. Compared against the client’s Mentoring Focus Areas for matching.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Skills and Expertise Tags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Multi-select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TBD — see MR-ISS-001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MN-MATCH-DAT-013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Finer-grained expertise tags for advanced matching beyond industry sector and focus areas.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Fluent Languages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Multi-select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MN-MATCH-DAT-014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Languages the mentor is fluent in. Used to match clients who prefer to work in a language other than English.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Mentor Status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Submitted, In Review, Provisional, Active, Paused, Inactive, Resigned, Departed, Declined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MN-MATCH-DAT-015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current lifecycle stage of the mentor. Only Active mentors are eligible for new client assignments.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Accepting New Clients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Yes/No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MN-MATCH-DAT-016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Whether the mentor is currently available for new assignments. Must be Yes for a nomination to proceed.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Maximum Client Capacity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MN-MATCH-DAT-017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maximum number of simultaneous active client engagements this mentor will accept.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Available Capacity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MN-MATCH-DAT-018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number of additional client engagements this mentor can currently accept. System-calculated. Must be greater than zero for a nomination to proceed.</w:t>
            </w:r>
          </w:p>
        </w:tc>
      </w:tr>
    </w:tbl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6. Data Collected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The following Engagement fields are populated during the matching and assignment process.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Entity: Engagement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800"/>
        <w:gridCol w:w="2400"/>
        <w:gridCol w:w="1000"/>
        <w:gridCol w:w="18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Values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Assigned Mentor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MN-MATCH-DAT-019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primary volunteer mentor assigned to this engagement. Set by the Client Assignment Coordinator during the matching process. Required when status is Assigned or later.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Co-Mentors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Relationship (many)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MN-MATCH-DAT-020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One or more volunteer mentors assigned in a supporting co-mentor role alongside the primary mentor. Multiple co-mentors may be active simultaneously.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Subject Matter Experts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Relationship (many)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MN-MATCH-DAT-021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One or more volunteer mentors providing specialist expertise on request for specific topics within the engagement.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Meeting Cadence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Weekly, Bi-Weekly, Monthly, As Needed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MN-MATCH-DAT-022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expected frequency of mentor-client meetings. Set by the mentor upon acceptance. Drives the cadence-aware inactivity monitoring thresholds for this engagement.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Submitted, Declined, Pending Acceptance, Assigned, Active, On-Hold, Dormant, Inactive, Abandoned, Completed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MN-MATCH-DAT-023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Updated by this process: transitions from Submitted to Pending Acceptance when a mentor is nominated, to Assigned when the mentor accepts, or back to Submitted if the mentor declines.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Engagement Contacts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Relationship (many)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16"/>
                <w:szCs w:val="16"/>
              </w:rPr>
              <w:t xml:space="preserve">MN-MATCH-DAT-024</w:t>
            </w:r>
          </w:p>
        </w:tc>
      </w:tr>
      <w:tr>
        <w:tc>
          <w:tcPr>
            <w:tcW w:type="dxa" w:w="936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7FB" w:val="clear"/>
            <w:tcMar>
              <w:top w:type="dxa" w:w="4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88888"/>
                <w:sz w:val="20"/>
                <w:szCs w:val="20"/>
              </w:rPr>
              <w:t xml:space="preserve">The specific individuals from the client organization actively participating in this engagement. Determines who receives meeting requests and session summary emails. Defaults to Primary Contact if empty.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6" w:space="1"/>
      </w:pBdr>
      <w:spacing w:after="0"/>
    </w:pPr>
    <w:r>
      <w:rPr>
        <w:rFonts w:ascii="Arial" w:cs="Arial" w:eastAsia="Arial" w:hAnsi="Arial"/>
        <w:b w:val="false"/>
        <w:bCs w:val="false"/>
        <w:i w:val="false"/>
        <w:iCs w:val="false"/>
        <w:color w:val="999999"/>
        <w:sz w:val="16"/>
        <w:szCs w:val="16"/>
      </w:rPr>
      <w:t xml:space="preserve">Process Document — Mentoring Domain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1"/>
      </w:pBdr>
      <w:spacing w:after="0"/>
    </w:pPr>
    <w:r>
      <w:rPr>
        <w:rFonts w:ascii="Arial" w:cs="Arial" w:eastAsia="Arial" w:hAnsi="Arial"/>
        <w:b w:val="false"/>
        <w:bCs w:val="false"/>
        <w:i w:val="false"/>
        <w:iCs w:val="false"/>
        <w:color w:val="666666"/>
        <w:sz w:val="18"/>
        <w:szCs w:val="18"/>
      </w:rPr>
      <w:t xml:space="preserve">Cleveland Business Mentors</w:t>
    </w:r>
    <w:r>
      <w:ptab w:alignment="right" w:relativeTo="margin" w:leader="none"/>
    </w:r>
    <w:r>
      <w:rPr>
        <w:rFonts w:ascii="Arial" w:cs="Arial" w:eastAsia="Arial" w:hAnsi="Arial"/>
        <w:b w:val="false"/>
        <w:bCs w:val="false"/>
        <w:i w:val="false"/>
        <w:iCs w:val="false"/>
        <w:color w:val="666666"/>
        <w:sz w:val="18"/>
        <w:szCs w:val="18"/>
      </w:rPr>
      <w:t xml:space="preserve">Mentor Matching (MN-MATCH)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2026-03-30T21:50:59.174Z</dcterms:created>
  <dcterms:modified xsi:type="dcterms:W3CDTF">2026-03-30T21:50:59.175Z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