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0.4  |  In Progress  |  March 15,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Account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Account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Account Entity</w:t>
      </w:r>
    </w:p>
    <w:p>
      <w:pPr>
        <w:spacing w:after="120"/>
      </w:pPr>
      <w:r>
        <w:t xml:space="preserve">The Account entity represents the business being mentored. It is the anchor record to which all Contacts, Engagements, and related activity are linked. Account data is collected in two phases: Phase 1 fields are captured on the public Mentoring Request intake form; Phase 2 fields are collected via a second form sent to the client after a mentor has been assigned.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an admin to identify and assign an appropriate mentor.</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legal or operating name of the business.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Account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sent to the client after a mentor has been assigned. The Phase 2 form is triggered by the mentor assignment workflow.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Admin and assigned mentor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Account. The person who submits the Phase 1 intake form automatically becomes the first Contact linked to the Account. Additional contacts can be added by an admin or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Account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an Account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admin review and mentor assignment.</w:t>
      </w:r>
    </w:p>
    <w:p>
      <w:pPr>
        <w:numPr>
          <w:ilvl w:val="0"/>
          <w:numId w:val="1"/>
        </w:numPr>
        <w:spacing w:after="60"/>
      </w:pPr>
      <w:r>
        <w:t xml:space="preserve">Assigned — A mentor has been identified and assigned; Phase 2 form has been sent to the client.</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w:t>
      </w:r>
    </w:p>
    <w:p>
      <w:pPr>
        <w:numPr>
          <w:ilvl w:val="0"/>
          <w:numId w:val="1"/>
        </w:numPr>
        <w:spacing w:after="60"/>
      </w:pPr>
      <w:r>
        <w:t xml:space="preserve">Inactive — Activity has ceased without a formal hold; typically triggered by lack of client response.</w:t>
      </w:r>
    </w:p>
    <w:p>
      <w:pPr>
        <w:numPr>
          <w:ilvl w:val="0"/>
          <w:numId w:val="1"/>
        </w:numPr>
        <w:spacing w:after="60"/>
      </w:pPr>
      <w:r>
        <w:t xml:space="preserve">Abandoned — Inactive for a configurable period (default: 90 days) with no response. Treated as permanently closed. The Inactive-to-Abandoned threshold is an admin-configurable system setting.</w:t>
      </w:r>
    </w:p>
    <w:p>
      <w:pPr>
        <w:numPr>
          <w:ilvl w:val="0"/>
          <w:numId w:val="1"/>
        </w:numPr>
        <w:spacing w:after="60"/>
      </w:pPr>
      <w:r>
        <w:t xml:space="preserve">Completed — The engagement was formally closed with goals achieved or mutually agreed conclusion.</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Account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Account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Assigned | Active | On-Hold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or Abandoned). Date field. System-populated on status change to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an optional co-mentor Contact record.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an optional subject matter expert Contact record.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All note fields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assigned mentor and admin.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2"/>
      </w:pPr>
      <w:r>
        <w:t xml:space="preserve">2.9 Shared Platform Entities</w:t>
      </w:r>
    </w:p>
    <w:p>
      <w:pPr>
        <w:spacing w:after="120"/>
      </w:pPr>
      <w:r>
        <w:t xml:space="preserve">The CBM CRM platform includes shared entities and communication capabilities available across all domains. All entities defined in this document — Account, Contact, Engagement, Session, NPS Survey Response, Workshop, and Workshop Attendance — must have relationship panels configured for each of the following as a standard part of their implementation.</w:t>
      </w:r>
    </w:p>
    <w:p>
      <w:pPr>
        <w:numPr>
          <w:ilvl w:val="0"/>
          <w:numId w:val="1"/>
        </w:numPr>
        <w:spacing w:after="60"/>
      </w:pPr>
      <w:r>
        <w:t xml:space="preserve">Notes and Comments — cross-record linked notes with one-level threaded discussion and internal-only visibility control.</w:t>
      </w:r>
    </w:p>
    <w:p>
      <w:pPr>
        <w:numPr>
          <w:ilvl w:val="0"/>
          <w:numId w:val="1"/>
        </w:numPr>
        <w:spacing w:after="60"/>
      </w:pPr>
      <w:r>
        <w:t xml:space="preserve">Documents — cross-record linked documents supporting both file uploads and external URL references (e.g., Google Drive links), with internal-only visibility control.</w:t>
      </w:r>
    </w:p>
    <w:p>
      <w:pPr>
        <w:numPr>
          <w:ilvl w:val="0"/>
          <w:numId w:val="1"/>
        </w:numPr>
        <w:spacing w:after="60"/>
      </w:pPr>
      <w:r>
        <w:t xml:space="preserve">Email and Calls — EspoCRM native activity panels for communication tracking. Emails sync automatically via Gmail OAuth; calls are logged manually by mentors and must be linked to both the Contact and active Engagement at time of logging.</w:t>
      </w:r>
    </w:p>
    <w:p>
      <w:pPr>
        <w:spacing w:after="120"/>
      </w:pPr>
      <w:r>
        <w:t xml:space="preserve">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r>
        <w:t xml:space="preserve"/>
      </w:r>
    </w:p>
    <w:p>
      <w:pPr>
        <w:pStyle w:val="Heading1"/>
      </w:pPr>
      <w:r>
        <w:t xml:space="preserve">3. Relationships</w:t>
      </w:r>
    </w:p>
    <w:p>
      <w:pPr>
        <w:spacing w:after="120"/>
      </w:pPr>
      <w:r>
        <w:t xml:space="preserve">This section defines the entity relationships in the client domain — how records connect to each other, how those relationships are created, and what data is visible from each side. All relationships described here are configured in EspoCRM’s Entity Manager.</w:t>
      </w:r>
    </w:p>
    <w:p>
      <w:r>
        <w:t xml:space="preserve"/>
      </w:r>
    </w:p>
    <w:p>
      <w:pPr>
        <w:pStyle w:val="Heading2"/>
      </w:pPr>
      <w:r>
        <w:t xml:space="preserve">3.1 Account → Contact</w:t>
      </w:r>
    </w:p>
    <w:p>
      <w:pPr>
        <w:spacing w:after="120"/>
      </w:pPr>
      <w:r>
        <w:t xml:space="preserve">Relationship type: One-to-Many. One Account may have many Contacts; each Contact belongs to one Account.</w:t>
      </w:r>
    </w:p>
    <w:p>
      <w:r>
        <w:t xml:space="preserve"/>
      </w:r>
    </w:p>
    <w:p>
      <w:pPr>
        <w:numPr>
          <w:ilvl w:val="0"/>
          <w:numId w:val="1"/>
        </w:numPr>
        <w:spacing w:after="60"/>
      </w:pPr>
      <w:r>
        <w:t xml:space="preserve">The first Contact is created automatically when a Mentoring Request form is submitted. The submitting individual becomes the primary Contact linked to the new Account.</w:t>
      </w:r>
    </w:p>
    <w:p>
      <w:pPr>
        <w:numPr>
          <w:ilvl w:val="0"/>
          <w:numId w:val="1"/>
        </w:numPr>
        <w:spacing w:after="60"/>
      </w:pPr>
      <w:r>
        <w:t xml:space="preserve">Additional Contacts may be added to the Account at any time by an admin or the assigned mentor as additional individuals from the business become involved in the engagement.</w:t>
      </w:r>
    </w:p>
    <w:p>
      <w:pPr>
        <w:numPr>
          <w:ilvl w:val="0"/>
          <w:numId w:val="1"/>
        </w:numPr>
        <w:spacing w:after="60"/>
      </w:pPr>
      <w:r>
        <w:t xml:space="preserve">The Primary Contact flag on the Contact record identifies the main point of contact when multiple Contacts exist on an Account.</w:t>
      </w:r>
    </w:p>
    <w:p>
      <w:pPr>
        <w:numPr>
          <w:ilvl w:val="0"/>
          <w:numId w:val="1"/>
        </w:numPr>
        <w:spacing w:after="60"/>
      </w:pPr>
      <w:r>
        <w:t xml:space="preserve">From the Account record, all linked Contacts are visible in a Contact relationship panel.</w:t>
      </w:r>
    </w:p>
    <w:p>
      <w:pPr>
        <w:numPr>
          <w:ilvl w:val="0"/>
          <w:numId w:val="1"/>
        </w:numPr>
        <w:spacing w:after="60"/>
      </w:pPr>
      <w:r>
        <w:t xml:space="preserve">From each Contact record, the linked Account is visible as a lookup field.</w:t>
      </w:r>
    </w:p>
    <w:p>
      <w:r>
        <w:t xml:space="preserve"/>
      </w:r>
    </w:p>
    <w:p>
      <w:pPr>
        <w:pStyle w:val="Heading2"/>
      </w:pPr>
      <w:r>
        <w:t xml:space="preserve">3.2 Account → Engagement</w:t>
      </w:r>
    </w:p>
    <w:p>
      <w:pPr>
        <w:spacing w:after="120"/>
      </w:pPr>
      <w:r>
        <w:t xml:space="preserve">Relationship type: One-to-Many. One Account may have many Engagements over time; each Engagement belongs to one Account.</w:t>
      </w:r>
    </w:p>
    <w:p>
      <w:r>
        <w:t xml:space="preserve"/>
      </w:r>
    </w:p>
    <w:p>
      <w:pPr>
        <w:numPr>
          <w:ilvl w:val="0"/>
          <w:numId w:val="1"/>
        </w:numPr>
        <w:spacing w:after="60"/>
      </w:pPr>
      <w:r>
        <w:t xml:space="preserve">The first Engagement is created automatically when a Mentoring Request form is submitted, with status set to Submitted.</w:t>
      </w:r>
    </w:p>
    <w:p>
      <w:pPr>
        <w:numPr>
          <w:ilvl w:val="0"/>
          <w:numId w:val="1"/>
        </w:numPr>
        <w:spacing w:after="60"/>
      </w:pPr>
      <w:r>
        <w:t xml:space="preserve">An Account may have more than one Engagement over its lifetime — for example, a client who completes one engagement and returns for a new one later. Each is tracked as a separate Engagement record.</w:t>
      </w:r>
    </w:p>
    <w:p>
      <w:pPr>
        <w:numPr>
          <w:ilvl w:val="0"/>
          <w:numId w:val="1"/>
        </w:numPr>
        <w:spacing w:after="60"/>
      </w:pPr>
      <w:r>
        <w:t xml:space="preserve">Only one Engagement per Account should be in an active status (Submitted, Assigned, Active, or On-Hold) at any given time.</w:t>
      </w:r>
    </w:p>
    <w:p>
      <w:pPr>
        <w:numPr>
          <w:ilvl w:val="0"/>
          <w:numId w:val="1"/>
        </w:numPr>
        <w:spacing w:after="60"/>
      </w:pPr>
      <w:r>
        <w:t xml:space="preserve">From the Account record, all linked Engagements are visible in an Engagement relationship panel, showing current and historical engagements.</w:t>
      </w:r>
    </w:p>
    <w:p>
      <w:pPr>
        <w:numPr>
          <w:ilvl w:val="0"/>
          <w:numId w:val="1"/>
        </w:numPr>
        <w:spacing w:after="60"/>
      </w:pPr>
      <w:r>
        <w:t xml:space="preserve">From each Engagement record, the linked Account is visible as a lookup field.</w:t>
      </w:r>
    </w:p>
    <w:p>
      <w:r>
        <w:t xml:space="preserve"/>
      </w:r>
    </w:p>
    <w:p>
      <w:pPr>
        <w:pStyle w:val="Heading2"/>
      </w:pPr>
      <w:r>
        <w:t xml:space="preserve">3.3 Engagement → Mentor / Co-Mentor / SME</w:t>
      </w:r>
    </w:p>
    <w:p>
      <w:pPr>
        <w:spacing w:after="120"/>
      </w:pPr>
      <w:r>
        <w:t xml:space="preserve">Relationship type: Many-to-One for each role. Each Engagement has one Assigned Mentor, optionally one Co-Mentor, and optionally one SME. All three are linked to Contact records in the mentor pool.</w:t>
      </w:r>
    </w:p>
    <w:p>
      <w:r>
        <w:t xml:space="preserve"/>
      </w:r>
    </w:p>
    <w:p>
      <w:pPr>
        <w:numPr>
          <w:ilvl w:val="0"/>
          <w:numId w:val="1"/>
        </w:numPr>
        <w:spacing w:after="60"/>
      </w:pPr>
      <w:r>
        <w:t xml:space="preserve">The Assigned Mentor link is set by an admin when the Engagement moves from Submitted to Assigned status.</w:t>
      </w:r>
    </w:p>
    <w:p>
      <w:pPr>
        <w:numPr>
          <w:ilvl w:val="0"/>
          <w:numId w:val="1"/>
        </w:numPr>
        <w:spacing w:after="60"/>
      </w:pPr>
      <w:r>
        <w:t xml:space="preserve">The Co-Mentor and SME links are optional and may be set at any time during an active engagement.</w:t>
      </w:r>
    </w:p>
    <w:p>
      <w:pPr>
        <w:numPr>
          <w:ilvl w:val="0"/>
          <w:numId w:val="1"/>
        </w:numPr>
        <w:spacing w:after="60"/>
      </w:pPr>
      <w:r>
        <w:t xml:space="preserve">Mentor, Co-Mentor, and SME links are stored as separate relationship fields on the Engagement record — not as a single multi-value field — to support role-specific access control and capacity management.</w:t>
      </w:r>
    </w:p>
    <w:p>
      <w:pPr>
        <w:numPr>
          <w:ilvl w:val="0"/>
          <w:numId w:val="1"/>
        </w:numPr>
        <w:spacing w:after="60"/>
      </w:pPr>
      <w:r>
        <w:t xml:space="preserve">From a mentor’s Contact record, all Engagements where they are assigned as Mentor, Co-Mentor, or SME are visible via relationship panels on the mentor profile.</w:t>
      </w:r>
    </w:p>
    <w:p>
      <w:r>
        <w:t xml:space="preserve"/>
      </w:r>
    </w:p>
    <w:p>
      <w:pPr>
        <w:pStyle w:val="Heading2"/>
      </w:pPr>
      <w:r>
        <w:t xml:space="preserve">3.4 Engagement → Session</w:t>
      </w:r>
    </w:p>
    <w:p>
      <w:pPr>
        <w:spacing w:after="120"/>
      </w:pPr>
      <w:r>
        <w:t xml:space="preserve">Relationship type: One-to-Many. One Engagement may have many Sessions; each Session belongs to one Engagement.</w:t>
      </w:r>
    </w:p>
    <w:p>
      <w:r>
        <w:t xml:space="preserve"/>
      </w:r>
    </w:p>
    <w:p>
      <w:pPr>
        <w:numPr>
          <w:ilvl w:val="0"/>
          <w:numId w:val="1"/>
        </w:numPr>
        <w:spacing w:after="60"/>
      </w:pPr>
      <w:r>
        <w:t xml:space="preserve">Session records are created manually by the assigned mentor after each meeting.</w:t>
      </w:r>
    </w:p>
    <w:p>
      <w:pPr>
        <w:numPr>
          <w:ilvl w:val="0"/>
          <w:numId w:val="1"/>
        </w:numPr>
        <w:spacing w:after="60"/>
      </w:pPr>
      <w:r>
        <w:t xml:space="preserve">Sessions drive the roll-up analytics fields on the Engagement record — Total Sessions, Total Sessions (Last 30 Days), Last Session Date, and Total Session Hours are all calculated from linked Session records.</w:t>
      </w:r>
    </w:p>
    <w:p>
      <w:pPr>
        <w:numPr>
          <w:ilvl w:val="0"/>
          <w:numId w:val="1"/>
        </w:numPr>
        <w:spacing w:after="60"/>
      </w:pPr>
      <w:r>
        <w:t xml:space="preserve">Sessions also drive NPS survey trigger logic — the system monitors session count per Engagement to determine when to send surveys.</w:t>
      </w:r>
    </w:p>
    <w:p>
      <w:pPr>
        <w:numPr>
          <w:ilvl w:val="0"/>
          <w:numId w:val="1"/>
        </w:numPr>
        <w:spacing w:after="60"/>
      </w:pPr>
      <w:r>
        <w:t xml:space="preserve">From the Engagement record, all linked Sessions are visible in a Session relationship panel sorted by date descending.</w:t>
      </w:r>
    </w:p>
    <w:p>
      <w:pPr>
        <w:numPr>
          <w:ilvl w:val="0"/>
          <w:numId w:val="1"/>
        </w:numPr>
        <w:spacing w:after="60"/>
      </w:pPr>
      <w:r>
        <w:t xml:space="preserve">From each Session record, the linked Engagement (and through it, the Account) is visible as a lookup field.</w:t>
      </w:r>
    </w:p>
    <w:p>
      <w:r>
        <w:t xml:space="preserve"/>
      </w:r>
    </w:p>
    <w:p>
      <w:pPr>
        <w:pStyle w:val="Heading2"/>
      </w:pPr>
      <w:r>
        <w:t xml:space="preserve">3.5 Engagement → NPS Survey Response</w:t>
      </w:r>
    </w:p>
    <w:p>
      <w:pPr>
        <w:spacing w:after="120"/>
      </w:pPr>
      <w:r>
        <w:t xml:space="preserve">Relationship type: One-to-Many. One Engagement may have many NPS Survey Responses over its lifetime; each NPS Survey Response belongs to one Engagement.</w:t>
      </w:r>
    </w:p>
    <w:p>
      <w:r>
        <w:t xml:space="preserve"/>
      </w:r>
    </w:p>
    <w:p>
      <w:pPr>
        <w:numPr>
          <w:ilvl w:val="0"/>
          <w:numId w:val="1"/>
        </w:numPr>
        <w:spacing w:after="60"/>
      </w:pPr>
      <w:r>
        <w:t xml:space="preserve">NPS Survey Response records are created automatically by the system when a survey trigger fires (after 2nd session, every 5 sessions thereafter, at engagement close).</w:t>
      </w:r>
    </w:p>
    <w:p>
      <w:pPr>
        <w:numPr>
          <w:ilvl w:val="0"/>
          <w:numId w:val="1"/>
        </w:numPr>
        <w:spacing w:after="60"/>
      </w:pPr>
      <w:r>
        <w:t xml:space="preserve">Each NPS Survey Response is linked to both the Engagement and, where applicable, the Session that triggered it.</w:t>
      </w:r>
    </w:p>
    <w:p>
      <w:pPr>
        <w:numPr>
          <w:ilvl w:val="0"/>
          <w:numId w:val="1"/>
        </w:numPr>
        <w:spacing w:after="60"/>
      </w:pPr>
      <w:r>
        <w:t xml:space="preserve">From the Engagement record, all linked NPS Survey Responses are visible in a relationship panel, allowing mentors and admins to track satisfaction trends over the course of the engagement.</w:t>
      </w:r>
    </w:p>
    <w:p>
      <w:r>
        <w:t xml:space="preserve"/>
      </w:r>
    </w:p>
    <w:p>
      <w:pPr>
        <w:pStyle w:val="Heading2"/>
      </w:pPr>
      <w:r>
        <w:t xml:space="preserve">3.6 Contact → Workshop Attendance</w:t>
      </w:r>
    </w:p>
    <w:p>
      <w:pPr>
        <w:spacing w:after="120"/>
      </w:pPr>
      <w:r>
        <w:t xml:space="preserve">Relationship type: One-to-Many. One Contact may have many Workshop Attendance records; each Workshop Attendance record belongs to one Contact.</w:t>
      </w:r>
    </w:p>
    <w:p>
      <w:r>
        <w:t xml:space="preserve"/>
      </w:r>
    </w:p>
    <w:p>
      <w:pPr>
        <w:numPr>
          <w:ilvl w:val="0"/>
          <w:numId w:val="1"/>
        </w:numPr>
        <w:spacing w:after="60"/>
      </w:pPr>
      <w:r>
        <w:t xml:space="preserve">Workshop Attendance records are created when a client registers for or attends a workshop.</w:t>
      </w:r>
    </w:p>
    <w:p>
      <w:pPr>
        <w:numPr>
          <w:ilvl w:val="0"/>
          <w:numId w:val="1"/>
        </w:numPr>
        <w:spacing w:after="60"/>
      </w:pPr>
      <w:r>
        <w:t xml:space="preserve">Each Workshop Attendance record links a Contact to a Workshop and to the active Engagement, providing full traceability of workshop participation within the context of the mentoring relationship.</w:t>
      </w:r>
    </w:p>
    <w:p>
      <w:pPr>
        <w:numPr>
          <w:ilvl w:val="0"/>
          <w:numId w:val="1"/>
        </w:numPr>
        <w:spacing w:after="60"/>
      </w:pPr>
      <w:r>
        <w:t xml:space="preserve">From the Contact record, all workshop attendance history is visible in a Workshop Attendance relationship panel.</w:t>
      </w:r>
    </w:p>
    <w:p>
      <w:pPr>
        <w:numPr>
          <w:ilvl w:val="0"/>
          <w:numId w:val="1"/>
        </w:numPr>
        <w:spacing w:after="60"/>
      </w:pPr>
      <w:r>
        <w:t xml:space="preserve">From the Engagement record, workshop attendance related to that engagement is also visible, giving mentors a complete picture of their client’s learning activities.</w:t>
      </w:r>
    </w:p>
    <w:p>
      <w:r>
        <w:t xml:space="preserve"/>
      </w:r>
    </w:p>
    <w:p>
      <w:pPr>
        <w:pStyle w:val="Heading2"/>
      </w:pPr>
      <w:r>
        <w:t xml:space="preserve">3.7 Workshop Attendance → Workshop</w:t>
      </w:r>
    </w:p>
    <w:p>
      <w:pPr>
        <w:spacing w:after="120"/>
      </w:pPr>
      <w:r>
        <w:t xml:space="preserve">Relationship type: Many-to-One. Many Workshop Attendance records may link to one Workshop; each Workshop Attendance record belongs to one Workshop.</w:t>
      </w:r>
    </w:p>
    <w:p>
      <w:r>
        <w:t xml:space="preserve"/>
      </w:r>
    </w:p>
    <w:p>
      <w:pPr>
        <w:numPr>
          <w:ilvl w:val="0"/>
          <w:numId w:val="1"/>
        </w:numPr>
        <w:spacing w:after="60"/>
      </w:pPr>
      <w:r>
        <w:t xml:space="preserve">The Workshop Attendance entity is the linking record between a client Contact and a Workshop. It is not a direct relationship between Contact and Workshop.</w:t>
      </w:r>
    </w:p>
    <w:p>
      <w:pPr>
        <w:numPr>
          <w:ilvl w:val="0"/>
          <w:numId w:val="1"/>
        </w:numPr>
        <w:spacing w:after="60"/>
      </w:pPr>
      <w:r>
        <w:t xml:space="preserve">From the Workshop record, all linked Workshop Attendance records are visible, providing a full attendee list for each event.</w:t>
      </w:r>
    </w:p>
    <w:p>
      <w:pPr>
        <w:numPr>
          <w:ilvl w:val="0"/>
          <w:numId w:val="1"/>
        </w:numPr>
        <w:spacing w:after="60"/>
      </w:pPr>
      <w:r>
        <w:t xml:space="preserve">Workshop attendance data feeds into both mentor visibility (mentors can see which workshops their clients attended) and CBM reporting (aggregate attendance counts by workshop, topic, and client segment).</w:t>
      </w:r>
    </w:p>
    <w:p>
      <w:r>
        <w:t xml:space="preserve"/>
      </w:r>
    </w:p>
    <w:p>
      <w:pPr>
        <w:pStyle w:val="Heading2"/>
      </w:pPr>
      <w:r>
        <w:t xml:space="preserve">3.8 Shared Platform Entity Relationships</w:t>
      </w:r>
    </w:p>
    <w:p>
      <w:pPr>
        <w:spacing w:after="120"/>
      </w:pPr>
      <w:r>
        <w:t xml:space="preserve">The following shared platform entities — Note, Comment, and Document — maintain many-to-many relationships with all client domain entities. These relationships allow a single Note or Document to be linked to multiple records simultaneously across entity types.</w:t>
      </w:r>
    </w:p>
    <w:p>
      <w:r>
        <w:t xml:space="preserve"/>
      </w:r>
    </w:p>
    <w:p>
      <w:pPr>
        <w:numPr>
          <w:ilvl w:val="0"/>
          <w:numId w:val="1"/>
        </w:numPr>
        <w:spacing w:after="60"/>
      </w:pPr>
      <w:r>
        <w:t xml:space="preserve">Note → Account, Contact, Engagement, Session, NPS Survey Response, Workshop, Workshop Attendance: Many-to-many. A Note may be linked to any combination of these records simultaneously.</w:t>
      </w:r>
    </w:p>
    <w:p>
      <w:pPr>
        <w:numPr>
          <w:ilvl w:val="0"/>
          <w:numId w:val="1"/>
        </w:numPr>
        <w:spacing w:after="60"/>
      </w:pPr>
      <w:r>
        <w:t xml:space="preserve">Comment → Note: Many-to-One. Comments are always children of a single parent Note.</w:t>
      </w:r>
    </w:p>
    <w:p>
      <w:pPr>
        <w:numPr>
          <w:ilvl w:val="0"/>
          <w:numId w:val="1"/>
        </w:numPr>
        <w:spacing w:after="60"/>
      </w:pPr>
      <w:r>
        <w:t xml:space="preserve">Document → Account, Contact, Engagement, Session, NPS Survey Response, Workshop, Workshop Attendance: Many-to-many. A Document may be linked to any combination of these records simultaneously.</w:t>
      </w:r>
    </w:p>
    <w:p>
      <w:pPr>
        <w:numPr>
          <w:ilvl w:val="0"/>
          <w:numId w:val="1"/>
        </w:numPr>
        <w:spacing w:after="60"/>
      </w:pPr>
      <w:r>
        <w:t xml:space="preserve">Email and Calls → Contact and Engagement: EspoCRM native activity records linked to both the Contact and the active Engagement. See Section 2.9 and CBM-PRD-CRM.docx Section 18.5 for configuration requirements.</w:t>
      </w:r>
    </w:p>
    <w:p>
      <w:r>
        <w:t xml:space="preserve"/>
      </w:r>
    </w:p>
    <w:p>
      <w:pPr>
        <w:pStyle w:val="Heading1"/>
      </w:pPr>
      <w:r>
        <w:t xml:space="preserve">4. Processes &amp; Workflows</w:t>
      </w:r>
    </w:p>
    <w:p>
      <w:pPr>
        <w:pStyle w:val="Heading2"/>
      </w:pPr>
      <w:r>
        <w:t xml:space="preserve">4.1 Client Intake</w:t>
      </w:r>
    </w:p>
    <w:p>
      <w:pPr>
        <w:spacing w:after="120"/>
      </w:pPr>
      <w:r>
        <w:rPr>
          <w:i/>
          <w:iCs/>
          <w:color w:val="888888"/>
        </w:rPr>
        <w:t xml:space="preserve">[PLACEHOLDER: Step-by-step intake process — form submission on website, CRM record creation, admin review, mentor assignment, introduction email trigger.]</w:t>
      </w:r>
    </w:p>
    <w:p>
      <w:r>
        <w:t xml:space="preserve"/>
      </w:r>
    </w:p>
    <w:p>
      <w:pPr>
        <w:pStyle w:val="Heading2"/>
      </w:pPr>
      <w:r>
        <w:t xml:space="preserve">4.2 Mentor Assignment</w:t>
      </w:r>
    </w:p>
    <w:p>
      <w:pPr>
        <w:spacing w:after="120"/>
      </w:pPr>
      <w:r>
        <w:rPr>
          <w:i/>
          <w:iCs/>
          <w:color w:val="888888"/>
        </w:rPr>
        <w:t xml:space="preserve">[PLACEHOLDER: Workflow for matching and assigning a mentor to a client — admin review, matching criteria, assignment record creation, notifications.]</w:t>
      </w:r>
    </w:p>
    <w:p>
      <w:r>
        <w:t xml:space="preserve"/>
      </w:r>
    </w:p>
    <w:p>
      <w:pPr>
        <w:pStyle w:val="Heading2"/>
      </w:pPr>
      <w:r>
        <w:t xml:space="preserve">4.3 Session Logging</w:t>
      </w:r>
    </w:p>
    <w:p>
      <w:pPr>
        <w:spacing w:after="120"/>
      </w:pPr>
      <w:r>
        <w:rPr>
          <w:i/>
          <w:iCs/>
          <w:color w:val="888888"/>
        </w:rPr>
        <w:t xml:space="preserve">[PLACEHOLDER: Process for logging a mentoring session against a client record — fields captured, who logs, how it updates engagement record and KPIs.]</w:t>
      </w:r>
    </w:p>
    <w:p>
      <w:r>
        <w:t xml:space="preserve"/>
      </w:r>
    </w:p>
    <w:p>
      <w:pPr>
        <w:pStyle w:val="Heading2"/>
      </w:pPr>
      <w:r>
        <w:t xml:space="preserve">4.4 NPS Survey Triggers</w:t>
      </w:r>
    </w:p>
    <w:p>
      <w:pPr>
        <w:spacing w:after="120"/>
      </w:pPr>
      <w:r>
        <w:rPr>
          <w:i/>
          <w:iCs/>
          <w:color w:val="888888"/>
        </w:rPr>
        <w:t xml:space="preserve">[PLACEHOLDER: Automated NPS trigger logic — after 2nd session, every 5 sessions thereafter, at engagement close. Survey delivery, response capture, linking to record.]</w:t>
      </w:r>
    </w:p>
    <w:p>
      <w:r>
        <w:t xml:space="preserve"/>
      </w:r>
    </w:p>
    <w:p>
      <w:pPr>
        <w:pStyle w:val="Heading2"/>
      </w:pPr>
      <w:r>
        <w:t xml:space="preserve">4.5 Inactivity Monitoring</w:t>
      </w:r>
    </w:p>
    <w:p>
      <w:pPr>
        <w:spacing w:after="120"/>
      </w:pPr>
      <w:r>
        <w:rPr>
          <w:i/>
          <w:iCs/>
          <w:color w:val="888888"/>
        </w:rPr>
        <w:t xml:space="preserve">[PLACEHOLDER: How inactivity is tracked for client engagements — last contact date, threshold, alert workflow, follow-up actions.]</w:t>
      </w:r>
    </w:p>
    <w:p>
      <w:r>
        <w:t xml:space="preserve"/>
      </w:r>
    </w:p>
    <w:p>
      <w:pPr>
        <w:pStyle w:val="Heading2"/>
      </w:pPr>
      <w:r>
        <w:t xml:space="preserve">4.6 Engagement Close</w:t>
      </w:r>
    </w:p>
    <w:p>
      <w:pPr>
        <w:spacing w:after="120"/>
      </w:pPr>
      <w:r>
        <w:rPr>
          <w:i/>
          <w:iCs/>
          <w:color w:val="888888"/>
        </w:rPr>
        <w:t xml:space="preserve">[PLACEHOLDER: Process for closing a client engagement — outcome recording, milestone capture, final NPS trigger, record status update.]</w:t>
      </w:r>
    </w:p>
    <w:p>
      <w:r>
        <w:t xml:space="preserve"/>
      </w:r>
    </w:p>
    <w:p>
      <w:pPr>
        <w:pStyle w:val="Heading2"/>
      </w:pPr>
      <w:r>
        <w:t xml:space="preserve">4.7 Client Offboarding / Record Retention</w:t>
      </w:r>
    </w:p>
    <w:p>
      <w:pPr>
        <w:spacing w:after="120"/>
      </w:pPr>
      <w:r>
        <w:rPr>
          <w:i/>
          <w:iCs/>
          <w:color w:val="888888"/>
        </w:rPr>
        <w:t xml:space="preserve">[PLACEHOLDER: What happens to client records after engagement close — retention schedule, data archival, access restrictions.]</w:t>
      </w:r>
    </w:p>
    <w:p>
      <w:r>
        <w:t xml:space="preserve"/>
      </w:r>
    </w:p>
    <w:p>
      <w:pPr>
        <w:pStyle w:val="Heading1"/>
      </w:pPr>
      <w:r>
        <w:t xml:space="preserve">5. Security</w:t>
      </w:r>
    </w:p>
    <w:p>
      <w:pPr>
        <w:pStyle w:val="Heading2"/>
      </w:pPr>
      <w:r>
        <w:t xml:space="preserve">5.1 Role-Based Access Control</w:t>
      </w:r>
    </w:p>
    <w:p>
      <w:pPr>
        <w:spacing w:after="120"/>
      </w:pPr>
      <w:r>
        <w:rPr>
          <w:i/>
          <w:iCs/>
          <w:color w:val="888888"/>
        </w:rPr>
        <w:t xml:space="preserve">[PLACEHOLDER: Define what each role (Admin, Primary Mentor, Co-Mentor, SME, Board Member) can see and do within client records. Clients themselves have no CRM access — email only.]</w:t>
      </w:r>
    </w:p>
    <w:p>
      <w:r>
        <w:t xml:space="preserve"/>
      </w:r>
    </w:p>
    <w:p>
      <w:pPr>
        <w:pStyle w:val="Heading2"/>
      </w:pPr>
      <w:r>
        <w:t xml:space="preserve">5.2 Field-Level Security</w:t>
      </w:r>
    </w:p>
    <w:p>
      <w:pPr>
        <w:spacing w:after="120"/>
      </w:pPr>
      <w:r>
        <w:rPr>
          <w:i/>
          <w:iCs/>
          <w:color w:val="888888"/>
        </w:rPr>
        <w:t xml:space="preserve">[PLACEHOLDER: Identify fields requiring additional access restrictions — e.g. sensitive business disclosures, personal circumstances, financial information shared in confidence.]</w:t>
      </w:r>
    </w:p>
    <w:p>
      <w:r>
        <w:t xml:space="preserve"/>
      </w:r>
    </w:p>
    <w:p>
      <w:pPr>
        <w:pStyle w:val="Heading2"/>
      </w:pPr>
      <w:r>
        <w:t xml:space="preserve">5.3 Data Visibility Rules</w:t>
      </w:r>
    </w:p>
    <w:p>
      <w:pPr>
        <w:spacing w:after="120"/>
      </w:pPr>
      <w:r>
        <w:rPr>
          <w:i/>
          <w:iCs/>
          <w:color w:val="888888"/>
        </w:rPr>
        <w:t xml:space="preserve">[PLACEHOLDER: Mentor can only see own assigned clients. Co-mentor and SME scoped to assigned engagement only. Admin full access. Board read-only aggregate reporting — no individual client records.]</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0.4</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15,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