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jc w:val="center"/>
        <w:rPr/>
      </w:pPr>
      <w:r>
        <w:rPr>
          <w:b/>
          <w:bCs/>
          <w:sz w:val="36"/>
          <w:szCs w:val="36"/>
        </w:rPr>
        <w:t>Cleveland Business Mentors</w:t>
      </w:r>
    </w:p>
    <w:p>
      <w:pPr>
        <w:pStyle w:val="Normal"/>
        <w:spacing w:before="0" w:after="200"/>
        <w:jc w:val="center"/>
        <w:rPr/>
      </w:pPr>
      <w:r>
        <w:rPr>
          <w:b/>
          <w:bCs/>
          <w:sz w:val="32"/>
          <w:szCs w:val="32"/>
        </w:rPr>
        <w:t>Domain Overview: Client Recruiting (CR)</w:t>
      </w:r>
    </w:p>
    <w:tbl>
      <w:tblPr>
        <w:tblW w:w="9360" w:type="dxa"/>
        <w:jc w:val="left"/>
        <w:tblInd w:w="0" w:type="dxa"/>
        <w:tblLayout w:type="fixed"/>
        <w:tblCellMar>
          <w:top w:w="80" w:type="dxa"/>
          <w:left w:w="120" w:type="dxa"/>
          <w:bottom w:w="80" w:type="dxa"/>
          <w:right w:w="120" w:type="dxa"/>
        </w:tblCellMar>
      </w:tblPr>
      <w:tblGrid>
        <w:gridCol w:w="2000"/>
        <w:gridCol w:w="7359"/>
      </w:tblGrid>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Version</w:t>
            </w:r>
          </w:p>
        </w:tc>
        <w:tc>
          <w:tcPr>
            <w:tcW w:w="7359" w:type="dxa"/>
            <w:tcBorders>
              <w:top w:val="single" w:sz="2" w:space="0" w:color="CCCCCC"/>
              <w:left w:val="single" w:sz="2" w:space="0" w:color="CCCCCC"/>
              <w:bottom w:val="single" w:sz="2" w:space="0" w:color="CCCCCC"/>
              <w:right w:val="single" w:sz="2" w:space="0" w:color="CCCCCC"/>
            </w:tcBorders>
          </w:tcPr>
          <w:p>
            <w:r>
              <w:t>1.3</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Status</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Draft</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Last Updated</w:t>
            </w:r>
          </w:p>
        </w:tc>
        <w:tc>
          <w:tcPr>
            <w:tcW w:w="7359" w:type="dxa"/>
            <w:tcBorders>
              <w:top w:val="single" w:sz="2" w:space="0" w:color="CCCCCC"/>
              <w:left w:val="single" w:sz="2" w:space="0" w:color="CCCCCC"/>
              <w:bottom w:val="single" w:sz="2" w:space="0" w:color="CCCCCC"/>
              <w:right w:val="single" w:sz="2" w:space="0" w:color="CCCCCC"/>
            </w:tcBorders>
          </w:tcPr>
          <w:p>
            <w:r>
              <w:t>04-20-26 15:17</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Domain Code</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Depends On</w:t>
            </w:r>
          </w:p>
        </w:tc>
        <w:tc>
          <w:tcPr>
            <w:tcW w:w="7359" w:type="dxa"/>
            <w:tcBorders>
              <w:top w:val="single" w:sz="2" w:space="0" w:color="CCCCCC"/>
              <w:left w:val="single" w:sz="2" w:space="0" w:color="CCCCCC"/>
              <w:bottom w:val="single" w:sz="2" w:space="0" w:color="CCCCCC"/>
              <w:right w:val="single" w:sz="2" w:space="0" w:color="CCCCCC"/>
            </w:tcBorders>
          </w:tcPr>
          <w:p>
            <w:r>
              <w:t>CBM-Master-PRD.docx v2.5, CBM-Entity-Inventory.docx v1.5, Contact-Entity-PRD.docx v1.6, Account-Entity-PRD.docx v1.6</w:t>
            </w:r>
          </w:p>
        </w:tc>
      </w:tr>
    </w:tbl>
    <w:p>
      <w:pPr>
        <w:pStyle w:val="Normal"/>
        <w:spacing w:before="0" w:after="200"/>
        <w:rPr/>
      </w:pPr>
      <w:r>
        <w:rPr/>
      </w:r>
    </w:p>
    <w:p>
      <w:pPr>
        <w:pStyle w:val="Heading1"/>
        <w:spacing w:before="240" w:after="200"/>
        <w:rPr/>
      </w:pPr>
      <w:r>
        <w:rPr/>
        <w:t>1. Domain Purpose</w:t>
      </w:r>
    </w:p>
    <w:p>
      <w:pPr>
        <w:pStyle w:val="Normal"/>
        <w:spacing w:before="0" w:after="200"/>
        <w:rPr/>
      </w:pPr>
      <w:r>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pStyle w:val="Normal"/>
        <w:spacing w:before="0" w:after="200"/>
        <w:rPr/>
      </w:pPr>
      <w:r>
        <w:rPr/>
        <w:t>Client Recruiting operates through four complementary sub-domains. Partner Relationship Management extends CBM’s reach into communities through formal partnerships with organizations that refer clients, contribute mentors, and co-sponsor programming. Outreach and Marketing generates awareness through communications channels including digital presence, content marketing, email campaigns, media relations, and direct grassroots outreach. Workshops and Event Management creates direct touchpoints with the business community through in-person and virtual events. Client Reactivation and Recovery maximizes return on prior recruiting investment by re-engaging former clients, incomplete applicants, and unconverted event attendees.</w:t>
      </w:r>
    </w:p>
    <w:p>
      <w:pPr>
        <w:pStyle w:val="Normal"/>
        <w:spacing w:before="0" w:after="200"/>
        <w:rPr/>
      </w:pPr>
      <w:r>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pStyle w:val="Normal"/>
        <w:spacing w:before="0" w:after="200"/>
        <w:rPr/>
      </w:pPr>
      <w:r>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pStyle w:val="Heading2"/>
        <w:spacing w:before="240" w:after="200"/>
        <w:rPr/>
      </w:pPr>
      <w:r>
        <w:rPr/>
        <w:t>1.1 Sub-Domain Structure and Rationale</w:t>
      </w:r>
    </w:p>
    <w:p>
      <w:pPr>
        <w:pStyle w:val="Normal"/>
        <w:spacing w:before="0" w:after="200"/>
        <w:rPr/>
      </w:pPr>
      <w:r>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w="9360" w:type="dxa"/>
        <w:jc w:val="left"/>
        <w:tblInd w:w="0" w:type="dxa"/>
        <w:tblLayout w:type="fixed"/>
        <w:tblCellMar>
          <w:top w:w="80" w:type="dxa"/>
          <w:left w:w="120" w:type="dxa"/>
          <w:bottom w:w="80" w:type="dxa"/>
          <w:right w:w="120" w:type="dxa"/>
        </w:tblCellMar>
      </w:tblPr>
      <w:tblGrid>
        <w:gridCol w:w="2199"/>
        <w:gridCol w:w="3200"/>
        <w:gridCol w:w="2400"/>
        <w:gridCol w:w="1560"/>
      </w:tblGrid>
      <w:tr>
        <w:trPr/>
        <w:tc>
          <w:tcPr>
            <w:tcW w:w="2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Sub-Domain</w:t>
            </w:r>
          </w:p>
        </w:tc>
        <w:tc>
          <w:tcPr>
            <w:tcW w:w="3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Description</w:t>
            </w:r>
          </w:p>
        </w:tc>
        <w:tc>
          <w:tcPr>
            <w:tcW w:w="24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Scope</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Tier</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CR-PARTNER</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Relationship Management</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Full lifecycle of referral partnerships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CR-MARKETING</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Outreach and Marketing</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Awareness generation through communications channels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CR-EVENTS</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Workshops and Event Management</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Planning, delivery, and follow-up of client-facing 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CR-REACTIVATE</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Reactivation and Recovery</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Re-engaging former clients, incomplete applications, unconverted attendees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bl>
    <w:p>
      <w:pPr>
        <w:pStyle w:val="Normal"/>
        <w:spacing w:before="0" w:after="200"/>
        <w:rPr/>
      </w:pPr>
      <w:r>
        <w:rPr/>
      </w:r>
    </w:p>
    <w:p>
      <w:pPr>
        <w:pStyle w:val="Heading1"/>
        <w:spacing w:before="24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812155" cy="427609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12155" cy="4276090"/>
                    </a:xfrm>
                    <a:prstGeom prst="rect">
                      <a:avLst/>
                    </a:prstGeom>
                  </pic:spPr>
                </pic:pic>
              </a:graphicData>
            </a:graphic>
          </wp:anchor>
        </w:drawing>
      </w:r>
      <w:r>
        <w:br w:type="page"/>
      </w:r>
    </w:p>
    <w:p>
      <w:pPr>
        <w:pStyle w:val="Heading1"/>
        <w:spacing w:before="240" w:after="200"/>
        <w:rPr/>
      </w:pPr>
      <w:r>
        <w:rPr/>
        <w:t>2. Personas</w:t>
      </w:r>
    </w:p>
    <w:p>
      <w:pPr>
        <w:pStyle w:val="Normal"/>
        <w:spacing w:before="0" w:after="200"/>
        <w:rPr/>
      </w:pPr>
      <w:r>
        <w:rPr/>
        <w:t>Seven personas participate in the Client Recruiting domain. Each persona’s role is scoped to their specific function within CR.</w:t>
      </w:r>
    </w:p>
    <w:tbl>
      <w:tblPr>
        <w:tblW w:w="9360" w:type="dxa"/>
        <w:jc w:val="left"/>
        <w:tblInd w:w="0" w:type="dxa"/>
        <w:tblLayout w:type="fixed"/>
        <w:tblCellMar>
          <w:top w:w="80" w:type="dxa"/>
          <w:left w:w="120" w:type="dxa"/>
          <w:bottom w:w="80" w:type="dxa"/>
          <w:right w:w="120" w:type="dxa"/>
        </w:tblCellMar>
      </w:tblPr>
      <w:tblGrid>
        <w:gridCol w:w="1199"/>
        <w:gridCol w:w="2200"/>
        <w:gridCol w:w="5961"/>
      </w:tblGrid>
      <w:tr>
        <w:trPr/>
        <w:tc>
          <w:tcPr>
            <w:tcW w:w="1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ID</w:t>
            </w:r>
          </w:p>
        </w:tc>
        <w:tc>
          <w:tcPr>
            <w:tcW w:w="2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Persona</w:t>
            </w:r>
          </w:p>
        </w:tc>
        <w:tc>
          <w:tcPr>
            <w:tcW w:w="596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 Domain Role</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MST-PER-003</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Administrator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Processes incoming client applications generated through CR channels (partner referrals, marketing campaigns, events). The handoff point from the Client Recruiting domain to the Mentoring domain.</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MST-PER-006</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Mentor Recruiter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Coordinates with the Partner Coordinator on partner-channel mentor recruitment initiatives where partner organizations contribute mentors from their professional networks.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MST-PER-007</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Recruiter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Leads outreach and marketing campaigns targeting prospective client businesses. Manages prospect contact lists, coordinates with the Partner Coordinator on joint marketing initiatives, and tracks campaign effectiveness. Primary operator in CR-MARKETING.</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MST-PER-008</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Coordinator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Manages the full partner organization lifecycle from prospecting through active relationship management. Coordinates across all sub-domains where partners are involved (co-sponsored events, joint marketing, mentor referrals). Primary operator in CR-PARTNER.</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MST-PER-009</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Content and Event Administrator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Plans and manages events, registration, attendance tracking, and post-event follow-up. Coordinates with partners and sponsors on co-sponsored events. Primary operator in CR-EVENTS.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MST-PER-012</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Member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Supports outreach activities and participates in events on an ad-hoc basis.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MST-PER-013</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The target of all CR activities. Registers for events, receives outreach communications, and submits applications for mentoring services.</w:t>
            </w:r>
          </w:p>
        </w:tc>
      </w:tr>
    </w:tbl>
    <w:p>
      <w:pPr>
        <w:pStyle w:val="Normal"/>
        <w:spacing w:before="0" w:after="200"/>
        <w:rPr/>
      </w:pPr>
      <w:r>
        <w:rPr/>
      </w:r>
    </w:p>
    <w:p>
      <w:pPr>
        <w:pStyle w:val="Heading1"/>
        <w:spacing w:before="240" w:after="200"/>
        <w:rPr/>
      </w:pPr>
      <w:r>
        <w:rPr/>
        <w:t>3. Business Processes</w:t>
      </w:r>
    </w:p>
    <w:p>
      <w:pPr>
        <w:pStyle w:val="Normal"/>
        <w:spacing w:before="0" w:after="200"/>
        <w:rPr/>
      </w:pPr>
      <w:r>
        <w:rPr/>
        <w:t>The Client Recruiting domain contains seven business processes organized across four sub-domains. Processes are listed in recommended production order within each sub-domain.</w:t>
      </w:r>
    </w:p>
    <w:p>
      <w:pPr>
        <w:pStyle w:val="Heading2"/>
        <w:spacing w:before="240" w:after="200"/>
        <w:rPr/>
      </w:pPr>
      <w:r>
        <w:rPr/>
        <w:t>3.1 Process Inventory</w:t>
      </w:r>
    </w:p>
    <w:tbl>
      <w:tblPr>
        <w:tblW w:w="9360" w:type="dxa"/>
        <w:jc w:val="left"/>
        <w:tblInd w:w="0" w:type="dxa"/>
        <w:tblLayout w:type="fixed"/>
        <w:tblCellMar>
          <w:top w:w="80" w:type="dxa"/>
          <w:left w:w="120" w:type="dxa"/>
          <w:bottom w:w="80" w:type="dxa"/>
          <w:right w:w="120" w:type="dxa"/>
        </w:tblCellMar>
      </w:tblPr>
      <w:tblGrid>
        <w:gridCol w:w="2600"/>
        <w:gridCol w:w="3399"/>
        <w:gridCol w:w="1800"/>
        <w:gridCol w:w="1560"/>
      </w:tblGrid>
      <w:tr>
        <w:trPr/>
        <w:tc>
          <w:tcPr>
            <w:tcW w:w="2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Code</w:t>
            </w:r>
          </w:p>
        </w:tc>
        <w:tc>
          <w:tcPr>
            <w:tcW w:w="33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Process Name</w:t>
            </w:r>
          </w:p>
        </w:tc>
        <w:tc>
          <w:tcPr>
            <w:tcW w:w="1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Sub-Domain</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Tier</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CR-PARTNER-PROSPECT</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Prospecting and Activation</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CR-PARTNER-MANAGE</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Relationship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CR-MARKETING-CONTACTS</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Marketing Contact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CR-MARKETING-CAMPAIGNS</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Campaign Execution and Tracking</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CR-EVENTS-MANAGE</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 Lifecycle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CR-EVENTS-CONVERT</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Post-Event Follow-Up and Conversion</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CR-REACTIVATE-OUTREACH</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Reactivation Outreach</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bl>
    <w:p>
      <w:pPr>
        <w:pStyle w:val="Normal"/>
        <w:spacing w:before="0" w:after="200"/>
        <w:rPr/>
      </w:pPr>
      <w:r>
        <w:rPr/>
      </w:r>
    </w:p>
    <w:p>
      <w:pPr>
        <w:pStyle w:val="Heading2"/>
        <w:spacing w:before="240" w:after="200"/>
        <w:rPr/>
      </w:pPr>
      <w:r>
        <w:rPr/>
        <w:t>3.2 CR-PARTNER — Partner Relationship Management</w:t>
      </w:r>
    </w:p>
    <w:p>
      <w:pPr>
        <w:pStyle w:val="Normal"/>
        <w:spacing w:before="0" w:after="200"/>
        <w:rPr/>
      </w:pPr>
      <w:r>
        <w:rPr/>
        <w:t>The Partner Relationship Management sub-domain covers the full lifecycle of referral partnerships — identifying potential partners, qualifying them, establishing formal agreements, and managing ongoing relationships. Partners include community organizations, nonprofits, government agencies, institutional channels (SBA, economic development offices, libraries, workforce development boards), and any organization that extends CBM’s reach and refers clients into the program.</w:t>
      </w:r>
    </w:p>
    <w:p>
      <w:pPr>
        <w:pStyle w:val="Normal"/>
        <w:spacing w:before="0" w:after="200"/>
        <w:rPr/>
      </w:pPr>
      <w:r>
        <w:rPr>
          <w:b/>
          <w:bCs/>
        </w:rPr>
        <w:t xml:space="preserve">Primary personas: </w:t>
      </w:r>
      <w:r>
        <w:rPr/>
        <w:t xml:space="preserve">Partner Coordinator (MST-PER-008). </w:t>
      </w:r>
      <w:r>
        <w:rPr>
          <w:b/>
          <w:bCs/>
        </w:rPr>
        <w:t xml:space="preserve">Supporting personas: </w:t>
      </w:r>
      <w:r>
        <w:rPr/>
        <w:t>Content and Event Administrator (MST-PER-009), Client Recruiter (MST-PER-007), Mentor Recruiter (MST-PER-006).</w:t>
      </w:r>
    </w:p>
    <w:p>
      <w:pPr>
        <w:pStyle w:val="Heading3"/>
        <w:spacing w:before="240" w:after="200"/>
        <w:rPr/>
      </w:pPr>
      <w:r>
        <w:rPr/>
        <w:t>CR-PARTNER-PROSPECT — Partner Prospecting and Activation</w:t>
      </w:r>
    </w:p>
    <w:p>
      <w:pPr>
        <w:pStyle w:val="Normal"/>
        <w:spacing w:before="0" w:after="200"/>
        <w:rPr/>
      </w:pPr>
      <w:r>
        <w:rPr/>
        <w:t>Covers identifying prospective partner organizations, initiating outreach, qualifying the partnership opportunity, establishing formal agreements, and converting the partner from Prospect to Active status. The process begins when the Partner Coordinator identifies a prospective partner and ends when the partnership is formally activated with an assigned liaison and recorded agreement (where applicable). This process creates the partner organization record, initial partner contacts, and the partnership agreement record.</w:t>
      </w:r>
    </w:p>
    <w:p>
      <w:pPr>
        <w:pStyle w:val="Heading3"/>
        <w:spacing w:before="240" w:after="200"/>
        <w:rPr/>
      </w:pPr>
      <w:r>
        <w:rPr/>
        <w:t>CR-PARTNER-MANAGE — Partner Relationship Management</w:t>
      </w:r>
    </w:p>
    <w:p>
      <w:pPr>
        <w:pStyle w:val="Normal"/>
        <w:spacing w:before="0" w:after="200"/>
        <w:rPr/>
      </w:pPr>
      <w:r>
        <w:rPr/>
        <w:t>Covers ongoing management of active partner relationships — liaison activities, communication tracking, referral tracking, co-sponsored event coordination, mentor affiliation tracking, analytics reporting, and partner status changes (Active to Lapsed or Inactive, and reactivation). The process is continuous for the life of the partnership. It begins when a partner reaches Active status (output of CR-PARTNER-PROSPECT) and continues indefinitely. All historical data — referrals, activities, communications, agreements, and analytics — is retained permanently regardless of status changes.</w:t>
      </w:r>
    </w:p>
    <w:p>
      <w:pPr>
        <w:pStyle w:val="Normal"/>
        <w:spacing w:before="0" w:after="200"/>
        <w:rPr/>
      </w:pPr>
      <w:r>
        <w:rPr>
          <w:b/>
          <w:bCs/>
        </w:rPr>
        <w:t xml:space="preserve">Dependency: </w:t>
      </w:r>
      <w:r>
        <w:rPr/>
        <w:t>CR-PARTNER-PROSPECT must be defined first. CR-PARTNER-MANAGE operates on records created by CR-PARTNER-PROSPECT.</w:t>
      </w:r>
    </w:p>
    <w:p>
      <w:pPr>
        <w:pStyle w:val="Heading2"/>
        <w:spacing w:before="240" w:after="200"/>
        <w:rPr/>
      </w:pPr>
      <w:r>
        <w:rPr/>
        <w:t>3.3 CR-MARKETING — Outreach and Marketing</w:t>
      </w:r>
    </w:p>
    <w:p>
      <w:pPr>
        <w:pStyle w:val="Normal"/>
        <w:spacing w:before="0" w:after="200"/>
        <w:rPr/>
      </w:pPr>
      <w:r>
        <w:rPr/>
        <w:t>The Outreach and Marketing sub-domain covers all activities that generate awareness and inbound interest through communications channels. This includes digital presence, content marketing, social media, email marketing, media and public relations, paid advertising, and direct grassroots outreach. The CRM serves as the single source of truth for prospect contact data, synchronizing lists to the external marketing platform for campaign delivery.</w:t>
      </w:r>
    </w:p>
    <w:p>
      <w:pPr>
        <w:pStyle w:val="Normal"/>
        <w:spacing w:before="0" w:after="200"/>
        <w:rPr/>
      </w:pPr>
      <w:r>
        <w:rPr>
          <w:b/>
          <w:bCs/>
        </w:rPr>
        <w:t xml:space="preserve">Primary persona: </w:t>
      </w:r>
      <w:r>
        <w:rPr/>
        <w:t xml:space="preserve">Client Recruiter (MST-PER-007). </w:t>
      </w:r>
      <w:r>
        <w:rPr>
          <w:b/>
          <w:bCs/>
        </w:rPr>
        <w:t xml:space="preserve">Supporting persona: </w:t>
      </w:r>
      <w:r>
        <w:rPr/>
        <w:t>Partner Coordinator (MST-PER-008).</w:t>
      </w:r>
    </w:p>
    <w:p>
      <w:pPr>
        <w:pStyle w:val="Heading3"/>
        <w:spacing w:before="240" w:after="200"/>
        <w:rPr/>
      </w:pPr>
      <w:r>
        <w:rPr/>
        <w:t>CR-MARKETING-CONTACTS — Marketing Contact Management</w:t>
      </w:r>
    </w:p>
    <w:p>
      <w:pPr>
        <w:pStyle w:val="Normal"/>
        <w:spacing w:before="0" w:after="200"/>
        <w:rPr/>
      </w:pPr>
      <w:r>
        <w:rPr/>
        <w:t>Covers creating and maintaining prospect and marketing contact records in the CRM, segmenting contact lists for targeted outreach, synchronizing lists to the external marketing platform, and tracking how contacts move through the prospect-to-applicant pipeline. Prospect contacts are maintained in the CRM as the single source of truth. The process is continuous — contacts are created, updated, and reclassified as they progress through the funnel or become inactive.</w:t>
      </w:r>
    </w:p>
    <w:p>
      <w:pPr>
        <w:pStyle w:val="Heading3"/>
        <w:spacing w:before="240" w:after="200"/>
        <w:rPr/>
      </w:pPr>
      <w:r>
        <w:rPr/>
        <w:t>CR-MARKETING-CAMPAIGNS — Campaign Execution and Tracking</w:t>
      </w:r>
    </w:p>
    <w:p>
      <w:pPr>
        <w:pStyle w:val="Normal"/>
        <w:spacing w:before="0" w:after="200"/>
        <w:rPr/>
      </w:pPr>
      <w:r>
        <w:rPr/>
        <w:t>Covers planning, executing, and measuring outreach campaigns. Campaign engagement history (emails sent, opened, clicked) is recorded back into the CRM against each contact record. Application source attribution records how each applicant heard about CBM. Channel effectiveness analysis compares campaign performance across outreach methods. Geographic targeting directs campaigns toward underserved service areas or populations.</w:t>
      </w:r>
    </w:p>
    <w:p>
      <w:pPr>
        <w:pStyle w:val="Normal"/>
        <w:spacing w:before="0" w:after="200"/>
        <w:rPr/>
      </w:pPr>
      <w:r>
        <w:rPr>
          <w:b/>
          <w:bCs/>
        </w:rPr>
        <w:t xml:space="preserve">Dependency: </w:t>
      </w:r>
      <w:r>
        <w:rPr/>
        <w:t>CR-MARKETING-CONTACTS must be defined first. Campaigns operate on the contact lists established by the contact management process.</w:t>
      </w:r>
    </w:p>
    <w:p>
      <w:pPr>
        <w:pStyle w:val="Heading2"/>
        <w:spacing w:before="240" w:after="200"/>
        <w:rPr/>
      </w:pPr>
      <w:r>
        <w:rPr/>
        <w:t>3.4 CR-EVENTS — Workshops and Event Management</w:t>
      </w:r>
    </w:p>
    <w:p>
      <w:pPr>
        <w:pStyle w:val="Normal"/>
        <w:spacing w:before="0" w:after="200"/>
        <w:rPr/>
      </w:pPr>
      <w:r>
        <w:rPr/>
        <w:t>The Workshops and Event Management sub-domain covers 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Events serve as a direct client recruiting mechanism and as an ongoing engagement tool for the broader CBM network.</w:t>
      </w:r>
    </w:p>
    <w:p>
      <w:pPr>
        <w:pStyle w:val="Normal"/>
        <w:spacing w:before="0" w:after="200"/>
        <w:rPr/>
      </w:pPr>
      <w:r>
        <w:rPr>
          <w:b/>
          <w:bCs/>
        </w:rPr>
        <w:t xml:space="preserve">Primary persona: </w:t>
      </w:r>
      <w:r>
        <w:rPr/>
        <w:t xml:space="preserve">Content and Event Administrator (MST-PER-009). </w:t>
      </w:r>
      <w:r>
        <w:rPr>
          <w:b/>
          <w:bCs/>
        </w:rPr>
        <w:t xml:space="preserve">Supporting personas: </w:t>
      </w:r>
      <w:r>
        <w:rPr/>
        <w:t>Partner Coordinator (MST-PER-008), Client Administrator (MST-PER-003), Client (MST-PER-013).</w:t>
      </w:r>
    </w:p>
    <w:p>
      <w:pPr>
        <w:pStyle w:val="Heading3"/>
        <w:spacing w:before="240" w:after="200"/>
        <w:rPr/>
      </w:pPr>
      <w:r>
        <w:rPr/>
        <w:t>CR-EVENTS-MANAGE — Event Lifecycle Management</w:t>
      </w:r>
    </w:p>
    <w:p>
      <w:pPr>
        <w:pStyle w:val="Normal"/>
        <w:spacing w:before="0" w:after="200"/>
        <w:rPr/>
      </w:pPr>
      <w:r>
        <w:rPr/>
        <w:t>Covers creating event records, publishing registration, managing registrations and waitlists, sending confirmation and reminder communications, coordinating with partners on co-sponsored events, tracking presenters, delivering the event, and recording final attendance. New contact records are created for registrants not already in the CRM. The process begins when a new event is planned and ends when final attendance is recorded.</w:t>
      </w:r>
    </w:p>
    <w:p>
      <w:pPr>
        <w:pStyle w:val="Heading3"/>
        <w:spacing w:before="240" w:after="200"/>
        <w:rPr/>
      </w:pPr>
      <w:r>
        <w:rPr/>
        <w:t>CR-EVENTS-CONVERT — Post-Event Follow-Up and Conversion</w:t>
      </w:r>
    </w:p>
    <w:p>
      <w:pPr>
        <w:pStyle w:val="Normal"/>
        <w:spacing w:before="0" w:after="200"/>
        <w:rPr/>
      </w:pPr>
      <w:r>
        <w:rPr/>
        <w:t>Covers triggering follow-up communications to attendees after events, tracking which attendees convert to applicants, feeding unconverted attendees into CR-REACTIVATE for future outreach, and producing event effectiveness analytics (registrations, attendance, no-show rates, conversion rates, and trends by event type and geography).</w:t>
      </w:r>
    </w:p>
    <w:p>
      <w:pPr>
        <w:pStyle w:val="Normal"/>
        <w:spacing w:before="0" w:after="200"/>
        <w:rPr/>
      </w:pPr>
      <w:r>
        <w:rPr>
          <w:b/>
          <w:bCs/>
        </w:rPr>
        <w:t xml:space="preserve">Dependency: </w:t>
      </w:r>
      <w:r>
        <w:rPr/>
        <w:t>CR-EVENTS-MANAGE must be defined first. The conversion process operates on attendance data produced by event management.</w:t>
      </w:r>
    </w:p>
    <w:p>
      <w:pPr>
        <w:pStyle w:val="Heading2"/>
        <w:spacing w:before="240" w:after="200"/>
        <w:rPr/>
      </w:pPr>
      <w:r>
        <w:rPr/>
        <w:t>3.5 CR-REACTIVATE — Client Reactivation and Recovery</w:t>
      </w:r>
    </w:p>
    <w:p>
      <w:pPr>
        <w:pStyle w:val="Normal"/>
        <w:spacing w:before="0" w:after="200"/>
        <w:rPr/>
      </w:pPr>
      <w:r>
        <w:rPr/>
        <w:t>The Client Reactivation and Recovery sub-domain covers re-engaging people who have previously interacted with CBM but are not currently active. This maximizes return on prior recruiting investment by converting warm leads who already know CBM.</w:t>
      </w:r>
    </w:p>
    <w:p>
      <w:pPr>
        <w:pStyle w:val="Normal"/>
        <w:spacing w:before="0" w:after="200"/>
        <w:rPr/>
      </w:pPr>
      <w:r>
        <w:rPr>
          <w:b/>
          <w:bCs/>
        </w:rPr>
        <w:t xml:space="preserve">Primary persona: </w:t>
      </w:r>
      <w:r>
        <w:rPr/>
        <w:t xml:space="preserve">Client Recruiter (MST-PER-007). </w:t>
      </w:r>
      <w:r>
        <w:rPr>
          <w:b/>
          <w:bCs/>
        </w:rPr>
        <w:t xml:space="preserve">Supporting persona: </w:t>
      </w:r>
      <w:r>
        <w:rPr/>
        <w:t>Client Administrator (MST-PER-003).</w:t>
      </w:r>
    </w:p>
    <w:p>
      <w:pPr>
        <w:pStyle w:val="Heading3"/>
        <w:spacing w:before="240" w:after="200"/>
        <w:rPr/>
      </w:pPr>
      <w:r>
        <w:rPr/>
        <w:t>CR-REACTIVATE-OUTREACH — Reactivation Outreach</w:t>
      </w:r>
    </w:p>
    <w:p>
      <w:pPr>
        <w:pStyle w:val="Normal"/>
        <w:spacing w:before="0" w:after="200"/>
        <w:rPr/>
      </w:pPr>
      <w:r>
        <w:rPr/>
        <w:t>Covers identifying, prioritizing, and re-engaging warm leads across all source categories: former clients who may benefit from another round of mentoring, incomplete applications that were never submitted or were withdrawn, workshop and webinar attendees who did not convert to applicants, seasonal and cyclical outreach to past inquiries, and structured referral requests to successful former clients. The process defines reactivation criteria per source category, executes outreach, tracks responses, and routes re-engaged contacts back into the appropriate intake path (MN-INTAKE for clients ready to apply, CR-EVENTS for event invitations, etc.).</w:t>
      </w:r>
    </w:p>
    <w:p>
      <w:pPr>
        <w:pStyle w:val="Normal"/>
        <w:spacing w:before="0" w:after="200"/>
        <w:rPr/>
      </w:pPr>
      <w:r>
        <w:rPr>
          <w:b/>
          <w:bCs/>
        </w:rPr>
        <w:t xml:space="preserve">Cross-sub-domain dependency: </w:t>
      </w:r>
      <w:r>
        <w:rPr/>
        <w:t>CR-REACTIVATE receives unconverted attendees from CR-EVENTS-CONVERT, inactive prospects from CR-MARKETING-CONTACTS, and former client records from the Mentoring domain. It should be defined last.</w:t>
      </w:r>
    </w:p>
    <w:p>
      <w:pPr>
        <w:pStyle w:val="Heading2"/>
        <w:spacing w:before="240" w:after="200"/>
        <w:rPr/>
      </w:pPr>
      <w:r>
        <w:rPr/>
        <w:t>3.6 Process Production Order</w:t>
      </w:r>
    </w:p>
    <w:p>
      <w:pPr>
        <w:pStyle w:val="Normal"/>
        <w:spacing w:before="0" w:after="200"/>
        <w:rPr/>
      </w:pPr>
      <w:r>
        <w:rPr/>
        <w:t>Processes are produced in the following order. Within each sub-domain, the order follows lifecycle dependencies. Across sub-domains, the order reflects the flow of data and cross-sub-domain handoffs.</w:t>
      </w:r>
    </w:p>
    <w:tbl>
      <w:tblPr>
        <w:tblW w:w="9360" w:type="dxa"/>
        <w:jc w:val="left"/>
        <w:tblInd w:w="0" w:type="dxa"/>
        <w:tblLayout w:type="fixed"/>
        <w:tblCellMar>
          <w:top w:w="80" w:type="dxa"/>
          <w:left w:w="120" w:type="dxa"/>
          <w:bottom w:w="80" w:type="dxa"/>
          <w:right w:w="120" w:type="dxa"/>
        </w:tblCellMar>
      </w:tblPr>
      <w:tblGrid>
        <w:gridCol w:w="599"/>
        <w:gridCol w:w="2800"/>
        <w:gridCol w:w="5961"/>
      </w:tblGrid>
      <w:tr>
        <w:trPr/>
        <w:tc>
          <w:tcPr>
            <w:tcW w:w="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w:t>
            </w:r>
          </w:p>
        </w:tc>
        <w:tc>
          <w:tcPr>
            <w:tcW w:w="2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Process Code</w:t>
            </w:r>
          </w:p>
        </w:tc>
        <w:tc>
          <w:tcPr>
            <w:tcW w:w="596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Rationale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1</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CR-PARTNER-PROSPECT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 tier. Creates partner records that all other sub-domains reference.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2</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CR-PARTNER-MANAGE</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records created by CR-PARTNER-PROSPECT.</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3</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CR-MARKETING-CONTACTS</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Establishes prospect contact management patterns used by campaigns and other sub-domains.</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4</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CR-MARKETING-CAMPAIGNS</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contact lists established by CR-MARKETING-CONTACTS.</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5</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CR-EVENTS-MANAGE</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Creates event and registration records. References partner records from CR-PARTNER.</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6</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CR-EVENTS-CONVERT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attendance data produced by CR-EVENTS-MANAGE.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7</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CR-REACTIVATE-OUTREACH</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Receives from all three other sub-domains. Defined last.</w:t>
            </w:r>
          </w:p>
        </w:tc>
      </w:tr>
    </w:tbl>
    <w:p>
      <w:pPr>
        <w:pStyle w:val="Normal"/>
        <w:spacing w:before="0" w:after="200"/>
        <w:rPr/>
      </w:pPr>
      <w:r>
        <w:rPr/>
      </w:r>
    </w:p>
    <w:p>
      <w:pPr>
        <w:pStyle w:val="Heading2"/>
        <w:spacing w:before="240" w:after="200"/>
        <w:rPr/>
      </w:pPr>
      <w:r>
        <w:rPr/>
        <w:t>3.7 Cross-Sub-Domain Relationships and Handoffs</w:t>
      </w:r>
    </w:p>
    <w:p>
      <w:pPr>
        <w:pStyle w:val="Normal"/>
        <w:spacing w:before="0" w:after="200"/>
        <w:rPr/>
      </w:pPr>
      <w:r>
        <w:rPr/>
        <w:t>The four CR sub-domains are designed to be autonomous but share data through defined handoff points.</w:t>
      </w:r>
    </w:p>
    <w:p>
      <w:pPr>
        <w:pStyle w:val="Normal"/>
        <w:spacing w:before="0" w:after="200"/>
        <w:rPr/>
      </w:pPr>
      <w:r>
        <w:rPr>
          <w:b/>
          <w:bCs/>
        </w:rPr>
        <w:t xml:space="preserve">CR-PARTNER → CR-EVENTS: </w:t>
      </w:r>
      <w:r>
        <w:rPr/>
        <w:t>Partners co-sponsor events. CR-PARTNER-MANAGE tracks the partner relationship; CR-EVENTS-MANAGE links partner organizations to co-sponsored event records. The handoff is a reference — the event record links to an existing partner record with no status change on either side.</w:t>
      </w:r>
    </w:p>
    <w:p>
      <w:pPr>
        <w:pStyle w:val="Normal"/>
        <w:spacing w:before="0" w:after="200"/>
        <w:rPr/>
      </w:pPr>
      <w:r>
        <w:rPr>
          <w:b/>
          <w:bCs/>
        </w:rPr>
        <w:t xml:space="preserve">CR-PARTNER → CR-MARKETING: </w:t>
      </w:r>
      <w:r>
        <w:rPr/>
        <w:t>Partners support joint marketing initiatives. The Partner Coordinator and Client Recruiter coordinate on campaigns that leverage partner channels and target partner service areas. This is a coordination activity rather than a formal data linkage.</w:t>
      </w:r>
    </w:p>
    <w:p>
      <w:pPr>
        <w:pStyle w:val="Normal"/>
        <w:spacing w:before="0" w:after="200"/>
        <w:rPr/>
      </w:pPr>
      <w:r>
        <w:rPr>
          <w:b/>
          <w:bCs/>
        </w:rPr>
        <w:t xml:space="preserve">CR-PARTNER → MR domain: </w:t>
      </w:r>
      <w:r>
        <w:rPr/>
        <w:t>Partners contribute mentors from their professional networks. The Mentor Recruiter coordinates with the Partner Coordinator. Mentor Contact records are linked to partner organizations via the Account relationship. This is a cross-domain reference.</w:t>
      </w:r>
    </w:p>
    <w:p>
      <w:pPr>
        <w:pStyle w:val="Normal"/>
        <w:spacing w:before="0" w:after="200"/>
        <w:rPr/>
      </w:pPr>
      <w:r>
        <w:rPr>
          <w:b/>
          <w:bCs/>
        </w:rPr>
        <w:t xml:space="preserve">CR-EVENTS-CONVERT → CR-REACTIVATE: </w:t>
      </w:r>
      <w:r>
        <w:rPr/>
        <w:t>Unconverted event attendees — people who attended but did not apply — become warm leads for CR-REACTIVATE-OUTREACH.</w:t>
      </w:r>
    </w:p>
    <w:p>
      <w:pPr>
        <w:pStyle w:val="Normal"/>
        <w:spacing w:before="0" w:after="200"/>
        <w:rPr/>
      </w:pPr>
      <w:r>
        <w:rPr>
          <w:b/>
          <w:bCs/>
        </w:rPr>
        <w:t xml:space="preserve">CR-MARKETING-CONTACTS → CR-REACTIVATE: </w:t>
      </w:r>
      <w:r>
        <w:rPr/>
        <w:t>Prospects who received outreach but did not convert may be recycled into reactivation segments over time.</w:t>
      </w:r>
    </w:p>
    <w:p>
      <w:pPr>
        <w:pStyle w:val="Heading2"/>
        <w:spacing w:before="240" w:after="200"/>
        <w:rPr/>
      </w:pPr>
      <w:r>
        <w:rPr/>
        <w:t>3.8 Handoff to Mentoring Domain</w:t>
      </w:r>
    </w:p>
    <w:p>
      <w:pPr>
        <w:pStyle w:val="Normal"/>
        <w:spacing w:before="0" w:after="200"/>
        <w:rPr/>
      </w:pPr>
      <w:r>
        <w:rPr/>
        <w:t>The primary cross-domain handoff is from the CR domain to the Mentoring domain’s Client Intake process (MN-INTAKE). The boundary is the client application submission. All CR activities aim to drive prospective clients to submit an application. Once submitted — regardless of which CR channel produced it (partner referral, marketing campaign, event attendance, reactivation outreach) — the record enters MN-INTAKE and the Mentoring domain owns the lifecycle from that point forward.</w:t>
      </w:r>
    </w:p>
    <w:p>
      <w:pPr>
        <w:pStyle w:val="Normal"/>
        <w:spacing w:before="0" w:after="200"/>
        <w:rPr/>
      </w:pPr>
      <w:r>
        <w:rPr/>
        <w:t>The CR domain’s contribution after application submission is limited to application source attribution. The system records how the applicant heard about CBM so CR can measure channel effectiveness. The CR domain does not participate in the intake workflow.</w:t>
      </w:r>
    </w:p>
    <w:p>
      <w:pPr>
        <w:pStyle w:val="Heading2"/>
        <w:spacing w:before="240" w:after="200"/>
        <w:rPr/>
      </w:pPr>
      <w:r>
        <w:rPr/>
        <w:t>3.9 Shared Audience Strategy and Consolidated Oversight</w:t>
      </w:r>
    </w:p>
    <w:p>
      <w:pPr>
        <w:pStyle w:val="Normal"/>
        <w:spacing w:before="0" w:after="200"/>
        <w:rPr/>
      </w:pPr>
      <w:r>
        <w:rPr/>
        <w:t>The four sub-domains are different channels all targeting the same general audience — small businesses and entrepreneurs in Northeast Ohio who could benefit from mentoring. Consolidated oversight at the parent domain level serves three purposes.</w:t>
      </w:r>
    </w:p>
    <w:p>
      <w:pPr>
        <w:pStyle w:val="Normal"/>
        <w:spacing w:before="0" w:after="200"/>
        <w:rPr/>
      </w:pPr>
      <w:r>
        <w:rPr>
          <w:b/>
          <w:bCs/>
        </w:rPr>
        <w:t xml:space="preserve">Channel effectiveness comparison. </w:t>
      </w:r>
      <w:r>
        <w:rPr/>
        <w:t>Application source attribution enables CBM to compare partner referrals, marketing campaigns, events, and reactivation outreach in terms of volume and conversion rates. This supports data-driven decisions about where to focus recruiting effort.</w:t>
      </w:r>
    </w:p>
    <w:p>
      <w:pPr>
        <w:pStyle w:val="Normal"/>
        <w:spacing w:before="0" w:after="200"/>
        <w:rPr/>
      </w:pPr>
      <w:r>
        <w:rPr>
          <w:b/>
          <w:bCs/>
        </w:rPr>
        <w:t xml:space="preserve">Outreach coordination. </w:t>
      </w:r>
      <w:r>
        <w:rPr/>
        <w:t>A prospect being nurtured through marketing should not also receive cold reactivation outreach. A partner-referred contact already in the intake pipeline should not receive event follow-up emails pushing them to apply. The CRM provides visibility across sub-domains to prevent duplicate or conflicting outreach.</w:t>
      </w:r>
    </w:p>
    <w:p>
      <w:pPr>
        <w:pStyle w:val="Normal"/>
        <w:spacing w:before="0" w:after="200"/>
        <w:rPr/>
      </w:pPr>
      <w:r>
        <w:rPr>
          <w:b/>
          <w:bCs/>
        </w:rPr>
        <w:t xml:space="preserve">Gap targeting. </w:t>
      </w:r>
      <w:r>
        <w:rPr/>
        <w:t>If the active client population is underrepresented in a particular geography, industry, or business stage, all four sub-domains can orient toward that gap — partners in that area, marketing campaigns targeting that segment, events in that location, reactivation outreach to former clients in that category.</w:t>
      </w:r>
    </w:p>
    <w:p>
      <w:pPr>
        <w:pStyle w:val="Heading1"/>
        <w:spacing w:before="240" w:after="200"/>
        <w:rPr/>
      </w:pPr>
      <w:r>
        <w:rPr/>
        <w:t>4. Data Reference</w:t>
      </w:r>
    </w:p>
    <w:p>
      <w:pPr>
        <w:pStyle w:val="Normal"/>
        <w:spacing w:before="0" w:after="200"/>
        <w:rPr/>
      </w:pPr>
      <w:r>
        <w:rPr/>
        <w:t>This section identifies the entities and fields relevant to the Client Recruiting domain, assembled by reference to completed Entity PRDs and the Entity Inventory. The Domain Overview identifies which entities the domain uses without redefining them — field-level detail is owned by Entity PRDs and will be established or updated as CR process documents are completed.</w:t>
      </w:r>
    </w:p>
    <w:p>
      <w:pPr>
        <w:pStyle w:val="Heading2"/>
        <w:spacing w:before="240" w:after="200"/>
        <w:rPr/>
      </w:pPr>
      <w:r>
        <w:rPr/>
        <w:t>4.1 Entity Summary</w:t>
      </w:r>
    </w:p>
    <w:tbl>
      <w:tblPr>
        <w:tblW w:w="9360" w:type="dxa"/>
        <w:jc w:val="left"/>
        <w:tblInd w:w="0" w:type="dxa"/>
        <w:tblLayout w:type="fixed"/>
        <w:tblCellMar>
          <w:top w:w="80" w:type="dxa"/>
          <w:left w:w="120" w:type="dxa"/>
          <w:bottom w:w="80" w:type="dxa"/>
          <w:right w:w="120" w:type="dxa"/>
        </w:tblCellMar>
      </w:tblPr>
      <w:tblGrid>
        <w:gridCol w:w="2000"/>
        <w:gridCol w:w="1200"/>
        <w:gridCol w:w="1200"/>
        <w:gridCol w:w="4959"/>
      </w:tblGrid>
      <w:tr>
        <w:trPr/>
        <w:tc>
          <w:tcPr>
            <w:tcW w:w="20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CRM Entity</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Type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Entity PRD</w:t>
            </w:r>
          </w:p>
        </w:tc>
        <w:tc>
          <w:tcPr>
            <w:tcW w:w="495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 Domain Role</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Native Person</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v1.1</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Partner, Presenter, and Member contact types. Prospect contacts for marketing. Event registrants.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Native Company</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v1.0</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and Partner account types. Partner organization profiles, status lifecycle, liaison assignment, and agreement tracking.</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Partnership Agreement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Base</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Formal agreements with partner organizations. Entity PRD depends on CR-PARTNER process documents.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Event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Workshops, seminars, webinars, and events. Entity PRD depends on CR-EVENTS process documents.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 Registration</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Base</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Individual registrations for events with attendance tracking. Entity PRD depends on CR-EVENTS process documents.</w:t>
            </w:r>
          </w:p>
        </w:tc>
      </w:tr>
    </w:tbl>
    <w:p>
      <w:pPr>
        <w:pStyle w:val="Normal"/>
        <w:spacing w:before="0" w:after="200"/>
        <w:rPr/>
      </w:pPr>
      <w:r>
        <w:rPr/>
      </w:r>
    </w:p>
    <w:p>
      <w:pPr>
        <w:pStyle w:val="Heading2"/>
        <w:spacing w:before="240" w:after="200"/>
        <w:rPr/>
      </w:pPr>
      <w:r>
        <w:rPr/>
        <w:t>4.2 Contact Entity</w:t>
      </w:r>
    </w:p>
    <w:p>
      <w:pPr>
        <w:pStyle w:val="Normal"/>
        <w:spacing w:before="0" w:after="200"/>
        <w:rPr/>
      </w:pPr>
      <w:r>
        <w:rPr/>
        <w:t>The Contact entity is a shared native Person type spanning all four domains. The Contact Entity PRD v1.6 documents all native and custom Contact fields across the four domains. CR domain coverage is currently incomplete (CON-ISS-004). The following contactType values participate in the CR domain: Client, Partner, Presenter, and Member.</w:t>
      </w:r>
    </w:p>
    <w:p>
      <w:pPr>
        <w:pStyle w:val="Normal"/>
        <w:spacing w:before="0" w:after="200"/>
        <w:rPr/>
      </w:pPr>
      <w:r>
        <w:rPr>
          <w:b/>
          <w:bCs/>
        </w:rPr>
        <w:t xml:space="preserve">Anticipated CR additions </w:t>
      </w:r>
      <w:r>
        <w:rPr/>
        <w:t>(to be defined by CR process documents):</w:t>
      </w:r>
    </w:p>
    <w:p>
      <w:pPr>
        <w:pStyle w:val="Normal"/>
        <w:spacing w:before="0" w:after="200"/>
        <w:rPr/>
      </w:pPr>
      <w:r>
        <w:rPr>
          <w:b/>
          <w:bCs/>
        </w:rPr>
        <w:t xml:space="preserve">Client lifecycle field (CON-ISS-001): </w:t>
      </w:r>
      <w:r>
        <w:rPr/>
        <w:t>Analogous to mentorStatus. Lifecycle stages and field definition to be established during CR process definition or MN-INTAKE Entity PRD work.</w:t>
      </w:r>
    </w:p>
    <w:p>
      <w:pPr>
        <w:pStyle w:val="Normal"/>
        <w:spacing w:before="0" w:after="200"/>
        <w:rPr/>
      </w:pPr>
      <w:r>
        <w:rPr>
          <w:b/>
          <w:bCs/>
        </w:rPr>
        <w:t xml:space="preserve">Partner lifecycle field (CON-ISS-002): </w:t>
      </w:r>
      <w:r>
        <w:rPr/>
        <w:t>Contact-level partner status, if needed beyond the Account-level partnerStatus. To be established during CR-PARTNER process definition.</w:t>
      </w:r>
    </w:p>
    <w:p>
      <w:pPr>
        <w:pStyle w:val="Normal"/>
        <w:spacing w:before="0" w:after="200"/>
        <w:rPr/>
      </w:pPr>
      <w:r>
        <w:rPr>
          <w:b/>
          <w:bCs/>
        </w:rPr>
        <w:t xml:space="preserve">Partner-specific custom fields: </w:t>
      </w:r>
      <w:r>
        <w:rPr/>
        <w:t>Role at partner organization, primary contact designation by function, and other partner contact fields as surfaced by CR-PARTNER processes.</w:t>
      </w:r>
    </w:p>
    <w:p>
      <w:pPr>
        <w:pStyle w:val="Normal"/>
        <w:spacing w:before="0" w:after="200"/>
        <w:rPr/>
      </w:pPr>
      <w:r>
        <w:rPr>
          <w:b/>
          <w:bCs/>
        </w:rPr>
        <w:t xml:space="preserve">Presenter-specific fields: </w:t>
      </w:r>
      <w:r>
        <w:rPr/>
        <w:t>Bio, topic expertise, or other fields as surfaced by CR-EVENTS processes, if any beyond what the event record captures.</w:t>
      </w:r>
    </w:p>
    <w:p>
      <w:pPr>
        <w:pStyle w:val="Normal"/>
        <w:spacing w:before="0" w:after="200"/>
        <w:rPr/>
      </w:pPr>
      <w:r>
        <w:rPr>
          <w:b/>
          <w:bCs/>
        </w:rPr>
        <w:t xml:space="preserve">Member-specific fields: </w:t>
      </w:r>
      <w:r>
        <w:rPr/>
        <w:t>To be defined during CR process definition, if any are needed beyond basic contact information.</w:t>
      </w:r>
    </w:p>
    <w:p>
      <w:pPr>
        <w:pStyle w:val="Normal"/>
        <w:spacing w:before="0" w:after="200"/>
        <w:rPr/>
      </w:pPr>
      <w:r>
        <w:rPr>
          <w:b/>
          <w:bCs/>
        </w:rPr>
        <w:t xml:space="preserve">How Did You Hear About CBM values (CON-ISS-008): </w:t>
      </w:r>
      <w:r>
        <w:rPr/>
        <w:t>CR processes will contribute values to this shared enum field for application source attribution.</w:t>
      </w:r>
    </w:p>
    <w:p>
      <w:pPr>
        <w:pStyle w:val="Normal"/>
        <w:spacing w:before="0" w:after="200"/>
        <w:rPr/>
      </w:pPr>
      <w:r>
        <w:rPr>
          <w:b/>
          <w:bCs/>
        </w:rPr>
        <w:t xml:space="preserve">Anticipated future relationships: </w:t>
      </w:r>
      <w:r>
        <w:rPr/>
        <w:t>Contact → Event Registration (CR domain), Contact → Event as Presenter (CR domain), Contact → Survey Response (pending Survey Service definition). These are noted in the Contact Entity PRD and will be formally defined when CR process documents establish field-level requirements.</w:t>
      </w:r>
    </w:p>
    <w:p>
      <w:pPr>
        <w:pStyle w:val="Heading2"/>
        <w:spacing w:before="240" w:after="200"/>
        <w:rPr/>
      </w:pPr>
      <w:r>
        <w:rPr/>
        <w:t>4.3 Account Entity</w:t>
      </w:r>
    </w:p>
    <w:p>
      <w:pPr>
        <w:pStyle w:val="Normal"/>
        <w:spacing w:before="0" w:after="200"/>
        <w:rPr/>
      </w:pPr>
      <w:r>
        <w:rPr/>
        <w:t>The Account entity is a shared native Company type spanning MN, CR, and FU domains. The Account Entity PRD v1.6 documents all native and custom Account fields across the participating domains. CR domain coverage is currently incomplete (ACT-ISS-002). The following accountType values participate in the CR domain: Client and Partner.</w:t>
      </w:r>
    </w:p>
    <w:p>
      <w:pPr>
        <w:pStyle w:val="Normal"/>
        <w:spacing w:before="0" w:after="200"/>
        <w:rPr/>
      </w:pPr>
      <w:r>
        <w:rPr/>
        <w:t>Partner-specific fields are already defined at summary level in the Account Entity PRD Section 3.3, sourced from the legacy CR Domain PRD. These include partnerOrganizationType, partnerType, partnerStatus, partnershipStartDate, assignedLiaison, publicAnnouncementAllowed, geographicServiceArea, targetPopulation, linkedInProfile, and partnerNotes. CR process documents will validate, refine, or expand these field definitions.</w:t>
      </w:r>
    </w:p>
    <w:p>
      <w:pPr>
        <w:pStyle w:val="Normal"/>
        <w:spacing w:before="0" w:after="200"/>
        <w:rPr/>
      </w:pPr>
      <w:r>
        <w:rPr>
          <w:b/>
          <w:bCs/>
        </w:rPr>
        <w:t xml:space="preserve">Anticipated CR additions </w:t>
      </w:r>
      <w:r>
        <w:rPr/>
        <w:t>(to be defined by CR process documents):</w:t>
      </w:r>
    </w:p>
    <w:p>
      <w:pPr>
        <w:pStyle w:val="Normal"/>
        <w:spacing w:before="0" w:after="200"/>
        <w:rPr/>
      </w:pPr>
      <w:r>
        <w:rPr>
          <w:b/>
          <w:bCs/>
        </w:rPr>
        <w:t xml:space="preserve">Client lifecycle field (ACT-ISS-001): </w:t>
      </w:r>
      <w:r>
        <w:rPr/>
        <w:t>Account-level client status analogous to partnerStatus. To be established during CR process definition.</w:t>
      </w:r>
    </w:p>
    <w:p>
      <w:pPr>
        <w:pStyle w:val="Normal"/>
        <w:spacing w:before="0" w:after="200"/>
        <w:rPr/>
      </w:pPr>
      <w:r>
        <w:rPr>
          <w:b/>
          <w:bCs/>
        </w:rPr>
        <w:t xml:space="preserve">Geographic Service Area format (ACT-ISS-004): </w:t>
      </w:r>
      <w:r>
        <w:rPr/>
        <w:t>Currently free text. Format decision (free text vs. controlled list of Northeast Ohio geographies) to be resolved during CR-PARTNER process definition.</w:t>
      </w:r>
    </w:p>
    <w:p>
      <w:pPr>
        <w:pStyle w:val="Normal"/>
        <w:spacing w:before="0" w:after="200"/>
        <w:rPr/>
      </w:pPr>
      <w:r>
        <w:rPr>
          <w:b/>
          <w:bCs/>
        </w:rPr>
        <w:t xml:space="preserve">Additional Partner-specific fields: </w:t>
      </w:r>
      <w:r>
        <w:rPr/>
        <w:t>As surfaced by CR-PARTNER process documents.</w:t>
      </w:r>
    </w:p>
    <w:p>
      <w:pPr>
        <w:pStyle w:val="Heading2"/>
        <w:spacing w:before="240" w:after="200"/>
        <w:rPr/>
      </w:pPr>
      <w:r>
        <w:rPr/>
        <w:t>4.4 Partnership Agreement Entity</w:t>
      </w:r>
    </w:p>
    <w:p>
      <w:pPr>
        <w:pStyle w:val="Normal"/>
        <w:spacing w:before="0" w:after="200"/>
        <w:rPr/>
      </w:pPr>
      <w:r>
        <w:rPr/>
        <w:t>Partnership Agreement is a custom Base entity that records formal written agreements between CBM and partner organizations. The Entity Inventory lists it as a single-domain entity owned exclusively by the CR domain. No Entity PRD exists yet — it depends on CR-PARTNER process documents (CR-PARTNER-PROSPECT and CR-PARTNER-MANAGE) to establish field-level requirements.</w:t>
      </w:r>
    </w:p>
    <w:p>
      <w:pPr>
        <w:pStyle w:val="Normal"/>
        <w:spacing w:before="0" w:after="200"/>
        <w:rPr/>
      </w:pPr>
      <w:r>
        <w:rPr/>
        <w:t>The legacy CR Domain PRD describes anticipated fields including partner organization link, agreement type (MOU, Partnership Agreement, Letter of Intent, Other), creation date, expiration/renewal date, agreement document attachment, and notes. Agreement documents are restricted to Partner Coordinator and Executive Member access. These will be validated and formalized during CR-PARTNER process definition.</w:t>
      </w:r>
    </w:p>
    <w:p>
      <w:pPr>
        <w:pStyle w:val="Heading2"/>
        <w:spacing w:before="240" w:after="200"/>
        <w:rPr/>
      </w:pPr>
      <w:r>
        <w:rPr/>
        <w:t>4.5 Event Entity</w:t>
      </w:r>
    </w:p>
    <w:p>
      <w:pPr>
        <w:pStyle w:val="Normal"/>
        <w:spacing w:before="0" w:after="200"/>
        <w:rPr/>
      </w:pPr>
      <w:r>
        <w:rPr/>
        <w:t>Event is a custom Event entity that represents workshops, seminars, webinars, and other programming offered by CBM. The Entity Inventory lists it as a single-domain entity owned exclusively by the CR domain. No Entity PRD exists yet — it depends on CR-EVENTS process documents (CR-EVENTS-MANAGE and CR-EVENTS-CONVERT) to establish field-level requirements.</w:t>
      </w:r>
    </w:p>
    <w:p>
      <w:pPr>
        <w:pStyle w:val="Normal"/>
        <w:spacing w:before="0" w:after="200"/>
        <w:rPr/>
      </w:pPr>
      <w:r>
        <w:rPr/>
        <w:t>The legacy CR Domain PRD describes anticipated fields including title, date/time, format (Virtual, In-Person, Hybrid), topic/category, presenter, description, maximum capacity, status (Scheduled, In Progress, Completed, Cancelled), co-sponsoring partners, and document attachments. These will be validated and formalized during CR-EVENTS process definition.</w:t>
      </w:r>
    </w:p>
    <w:p>
      <w:pPr>
        <w:pStyle w:val="Heading2"/>
        <w:spacing w:before="240" w:after="200"/>
        <w:rPr/>
      </w:pPr>
      <w:r>
        <w:rPr/>
        <w:t>4.6 Event Registration Entity</w:t>
      </w:r>
    </w:p>
    <w:p>
      <w:pPr>
        <w:pStyle w:val="Normal"/>
        <w:spacing w:before="0" w:after="200"/>
        <w:rPr/>
      </w:pPr>
      <w:r>
        <w:rPr/>
        <w:t>Event Registration is a custom Base entity that links a Contact to an Event they registered for or attended. The Entity Inventory lists it as a single-domain entity owned exclusively by the CR domain. No Entity PRD exists yet — it depends on CR-EVENTS process documents to establish field-level requirements.</w:t>
      </w:r>
    </w:p>
    <w:p>
      <w:pPr>
        <w:pStyle w:val="Normal"/>
        <w:spacing w:before="0" w:after="200"/>
        <w:rPr/>
      </w:pPr>
      <w:r>
        <w:rPr/>
        <w:t>The legacy CR Domain PRD describes anticipated fields including event link, contact link, registration date, attendance status (Registered, Attended, No-Show, Cancelled), and registration source. These will be validated and formalized during CR-EVENTS process definition.</w:t>
      </w:r>
    </w:p>
    <w:p>
      <w:pPr>
        <w:pStyle w:val="Heading2"/>
        <w:spacing w:before="240" w:after="200"/>
        <w:rPr/>
      </w:pPr>
      <w:r>
        <w:rPr/>
        <w:t>4.7 Open Issues Carried Forward</w:t>
      </w:r>
    </w:p>
    <w:p>
      <w:pPr>
        <w:pStyle w:val="Normal"/>
        <w:spacing w:before="0" w:after="200"/>
        <w:rPr/>
      </w:pPr>
      <w:r>
        <w:rPr/>
        <w:t>The following open issues from upstream documents are relevant to the CR domain and will be addressed as CR process documents and Entity PRDs are completed.</w:t>
      </w:r>
    </w:p>
    <w:tbl>
      <w:tblPr>
        <w:tblW w:w="9360" w:type="dxa"/>
        <w:jc w:val="left"/>
        <w:tblInd w:w="0" w:type="dxa"/>
        <w:tblLayout w:type="fixed"/>
        <w:tblCellMar>
          <w:top w:w="80" w:type="dxa"/>
          <w:left w:w="120" w:type="dxa"/>
          <w:bottom w:w="80" w:type="dxa"/>
          <w:right w:w="120" w:type="dxa"/>
        </w:tblCellMar>
      </w:tblPr>
      <w:tblGrid>
        <w:gridCol w:w="1799"/>
        <w:gridCol w:w="2201"/>
        <w:gridCol w:w="5360"/>
      </w:tblGrid>
      <w:tr>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Issue ID</w:t>
            </w:r>
          </w:p>
        </w:tc>
        <w:tc>
          <w:tcPr>
            <w:tcW w:w="22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Source</w:t>
            </w:r>
          </w:p>
        </w:tc>
        <w:tc>
          <w:tcPr>
            <w:tcW w:w="5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Description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CON-ISS-001</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Resolved by the prospectStatus field added to the Contact Entity PRD v1.3 paired with the clientStatus field added to the Account Entity PRD v1.2. The two-field model tracks marketing-funnel state on Contact and client-relationship state on Account, answering two different questions without ambiguity.</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CON-ISS-002</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lifecycle field not yet defined. To be established during CR-PARTNER process definition.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CON-ISS-004</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Incomplete domain coverage for Contact entity. CR domain fields and relationships to be added when CR process documents are completed.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CON-ISS-008</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superseded in v1.1 per MR-Y9-EXC-005): How Did You Hear About CBM enum value list finalized as 8 values: Partner Referral, Social Media, CBM Email, Workshop or Event, Search Engine, News or Media, Personal Referral, Other. Values map to CR sub-domains for channel effectiveness rollup reporting (Partner Referral → CR-PARTNER; Workshop or Event → CR-EVENTS; CBM Email, Social Media, Search Engine, News or Media → CR-MARKETING; Personal Referral, Other → organic/unattributed). Reactivation outbound is not rolled up through this field; reactivation effectiveness is measured through Campaign tracking where Campaign.channel = Reactivation. The 8-value list supersedes the v1.0 10-value list (which included Email Marketing, CBM Website, and Returning Client) per MR-Y9-EXC-005 (programs/MR/EXCEPTIONS.md). Resolved in Contact Entity PRD v1.6.</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ACT-ISS-001</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Resolved by the clientStatus field added to the Account Entity PRD v1.2. The Account-level client lifecycle is now tracked via clientStatus, paired with Contact.prospectStatus on the Contact entity for the marketing-funnel state of individual people.</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ACT-ISS-002</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Incomplete domain coverage for Account entity. CR domain fields to be validated and expanded when CR process documents are completed.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ACT-ISS-004</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r>
              <w:t>Geographic Service Area field format (free text vs. controlled list) not yet decided by CBM leadership. Superseded in scope by CR-MARKETING-ISS-001 (geographic targeting model deferred to stakeholder input). Resolution will happen jointly with CR-MARKETING-ISS-001 when stakeholder input is available.</w:t>
            </w:r>
          </w:p>
        </w:tc>
      </w:tr>
      <w:tr>
        <w:tc>
          <w:tcPr>
            <w:tcW w:type="dxa" w:w="1799"/>
          </w:tcPr>
          <w:p>
            <w:r>
              <w:t>CR-EVENTS-ISS-001</w:t>
            </w:r>
          </w:p>
        </w:tc>
        <w:tc>
          <w:tcPr>
            <w:tcW w:type="dxa" w:w="2201"/>
          </w:tcPr>
          <w:p>
            <w:r>
              <w:t>CR-EVENTS Sub-Domain Overview</w:t>
            </w:r>
          </w:p>
        </w:tc>
        <w:tc>
          <w:tcPr>
            <w:tcW w:type="dxa" w:w="5360"/>
          </w:tcPr>
          <w:p>
            <w:r>
              <w:t>Event feedback surveys deferred to the future Survey Service definition. Event feedback data collection and analysis are out of scope for CR-EVENTS v1.0. To be addressed when the Survey Service is defined as a Cross-Domain Service PRD (Phase 6).</w:t>
            </w:r>
          </w:p>
        </w:tc>
      </w:tr>
    </w:tbl>
    <w:p>
      <w:pPr>
        <w:pStyle w:val="Normal"/>
        <w:spacing w:before="0" w:after="200"/>
        <w:rPr/>
      </w:pPr>
      <w:r>
        <w:rPr/>
      </w:r>
    </w:p>
    <w:p>
      <w:pPr>
        <w:pStyle w:val="Heading1"/>
        <w:spacing w:before="240" w:after="200"/>
        <w:rPr/>
      </w:pPr>
      <w:r>
        <w:rPr/>
        <w:t>5. Updates to Prior Documents</w:t>
      </w:r>
    </w:p>
    <w:tbl>
      <w:tblPr>
        <w:tblW w:w="9360" w:type="dxa"/>
        <w:jc w:val="left"/>
        <w:tblInd w:w="0" w:type="dxa"/>
        <w:tblLayout w:type="fixed"/>
        <w:tblCellMar>
          <w:top w:w="80" w:type="dxa"/>
          <w:left w:w="120" w:type="dxa"/>
          <w:bottom w:w="80" w:type="dxa"/>
          <w:right w:w="120" w:type="dxa"/>
        </w:tblCellMar>
      </w:tblPr>
      <w:tblGrid>
        <w:gridCol w:w="2199"/>
        <w:gridCol w:w="3001"/>
        <w:gridCol w:w="4160"/>
      </w:tblGrid>
      <w:tr>
        <w:trPr/>
        <w:tc>
          <w:tcPr>
            <w:tcW w:w="2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Document</w:t>
            </w:r>
          </w:p>
        </w:tc>
        <w:tc>
          <w:tcPr>
            <w:tcW w:w="3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Update Needed</w:t>
            </w:r>
          </w:p>
        </w:tc>
        <w:tc>
          <w:tcPr>
            <w:tcW w:w="41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Rationale</w:t>
            </w:r>
          </w:p>
        </w:tc>
      </w:tr>
      <w:tr>
        <w:trPr/>
        <w:tc>
          <w:tcPr>
            <w:tcW w:w="2199" w:type="dxa"/>
            <w:tcBorders>
              <w:top w:val="single" w:sz="2" w:space="0" w:color="CCCCCC"/>
              <w:left w:val="single" w:sz="2" w:space="0" w:color="CCCCCC"/>
              <w:bottom w:val="single" w:sz="2" w:space="0" w:color="CCCCCC"/>
              <w:right w:val="single" w:sz="2" w:space="0" w:color="CCCCCC"/>
            </w:tcBorders>
          </w:tcPr>
          <w:p>
            <w:r>
              <w:t>CBM-Master-PRD.docx v2.2 (applied in v2.3)</w:t>
            </w:r>
          </w:p>
        </w:tc>
        <w:tc>
          <w:tcPr>
            <w:tcW w:w="3001" w:type="dxa"/>
            <w:tcBorders>
              <w:top w:val="single" w:sz="2" w:space="0" w:color="CCCCCC"/>
              <w:left w:val="single" w:sz="2" w:space="0" w:color="CCCCCC"/>
              <w:bottom w:val="single" w:sz="2" w:space="0" w:color="CCCCCC"/>
              <w:right w:val="single" w:sz="2" w:space="0" w:color="CCCCCC"/>
            </w:tcBorders>
          </w:tcPr>
          <w:p>
            <w:r>
              <w:t>Add MST-PER-013 (Client) to CR domain persona list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The Client persona’s definition lists “Client Recruiting” as a primary domain, and the legacy CR Domain PRD includes them in CR-EVENTS. The CR domain exists to locate and recruit clients, making them a participating persona. The persona list in Section 3.5 should include MST-PER-013.</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CBM-Master-PRD.docx v2.3 (applied in v2.4)</w:t>
            </w:r>
          </w:p>
        </w:tc>
        <w:tc>
          <w:tcPr>
            <w:tcW w:w="3001" w:type="dxa"/>
            <w:tcBorders>
              <w:top w:val="single" w:sz="2" w:space="0" w:color="CCCCCC"/>
              <w:left w:val="single" w:sz="2" w:space="0" w:color="CCCCCC"/>
              <w:bottom w:val="single" w:sz="2" w:space="0" w:color="CCCCCC"/>
              <w:right w:val="single" w:sz="2" w:space="0" w:color="CCCCCC"/>
            </w:tcBorders>
          </w:tcPr>
          <w:p>
            <w:r>
              <w:t xml:space="preserve">Add Section 5.4 referencing the Universal Contact-Creation Rules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formalized 5 universal rules for Contact creation that apply CRM-wide across all domains. The Master PRD Section 5 (System Scope) needed a reference so other domains know to follow the principle. Applied as Section 5.4 in Master PRD v2.4.</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Contact-Entity-PRD.docx v1.2 (applied in v1.3)</w:t>
            </w:r>
          </w:p>
        </w:tc>
        <w:tc>
          <w:tcPr>
            <w:tcW w:w="3001" w:type="dxa"/>
            <w:tcBorders>
              <w:top w:val="single" w:sz="2" w:space="0" w:color="CCCCCC"/>
              <w:left w:val="single" w:sz="2" w:space="0" w:color="CCCCCC"/>
              <w:bottom w:val="single" w:sz="2" w:space="0" w:color="CCCCCC"/>
              <w:right w:val="single" w:sz="2" w:space="0" w:color="CCCCCC"/>
            </w:tcBorders>
          </w:tcPr>
          <w:p>
            <w:r>
              <w:t xml:space="preserve">Add 8 new fields, finalize howDidYouHearAboutCbm enum, update narrative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8 new fields for the Contact entity (prospectStatus, sourceAttributionDetails, emailOptOut, smsOptOut, plus 4 marketing engagement roll-ups) and finalized the 10-value howDidYouHearAboutCbm enum. Applied as Section 3.5 in Contact Entity PRD v1.3, which also closes CON-ISS-001 and CON-ISS-008.</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Account-Entity-PRD.docx v1.1 (applied in v1.2)</w:t>
            </w:r>
          </w:p>
        </w:tc>
        <w:tc>
          <w:tcPr>
            <w:tcW w:w="3001" w:type="dxa"/>
            <w:tcBorders>
              <w:top w:val="single" w:sz="2" w:space="0" w:color="CCCCCC"/>
              <w:left w:val="single" w:sz="2" w:space="0" w:color="CCCCCC"/>
              <w:bottom w:val="single" w:sz="2" w:space="0" w:color="CCCCCC"/>
              <w:right w:val="single" w:sz="2" w:space="0" w:color="CCCCCC"/>
            </w:tcBorders>
          </w:tcPr>
          <w:p>
            <w:r>
              <w:t xml:space="preserve">Add clientStatus field, document native website field as matching signal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a new clientStatus field tracking the client-relationship lifecycle at the Account level, paired with Contact.prospectStatus. The Sub-Domain Overview also formalized that the native Account.website field is the primary signal for prospect-Contact-to-Account matching. Applied in Account Entity PRD v1.2, which closes ACT-ISS-001.</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MN-INTAKE.docx v2.2 (applied in v2.3)</w:t>
            </w:r>
          </w:p>
        </w:tc>
        <w:tc>
          <w:tcPr>
            <w:tcW w:w="3001" w:type="dxa"/>
            <w:tcBorders>
              <w:top w:val="single" w:sz="2" w:space="0" w:color="CCCCCC"/>
              <w:left w:val="single" w:sz="2" w:space="0" w:color="CCCCCC"/>
              <w:bottom w:val="single" w:sz="2" w:space="0" w:color="CCCCCC"/>
              <w:right w:val="single" w:sz="2" w:space="0" w:color="CCCCCC"/>
            </w:tcBorders>
          </w:tcPr>
          <w:p>
            <w:r>
              <w:t xml:space="preserve">Add 4 new requirements for prospect-to-applicant handoff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established that prospect Contacts exist in the CRM before application, requiring MN-INTAKE to handle the prospect-Contact-already-exists case, transition Account.clientStatus and Contact.prospectStatus at application processing time, and respect the layered authority policy when writing howDidYouHearAboutCbm. Applied as MN-INTAKE-REQ-010 through MN-INTAKE-REQ-013 in MN-INTAKE v2.3, which closes MN-INTAKE-ISS-002.</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CBM-Entity-Inventory.docx v1.2 (pending)</w:t>
            </w:r>
          </w:p>
        </w:tc>
        <w:tc>
          <w:tcPr>
            <w:tcW w:w="3001" w:type="dxa"/>
            <w:tcBorders>
              <w:top w:val="single" w:sz="2" w:space="0" w:color="CCCCCC"/>
              <w:left w:val="single" w:sz="2" w:space="0" w:color="CCCCCC"/>
              <w:bottom w:val="single" w:sz="2" w:space="0" w:color="CCCCCC"/>
              <w:right w:val="single" w:sz="2" w:space="0" w:color="CCCCCC"/>
            </w:tcBorders>
          </w:tcPr>
          <w:p>
            <w:r>
              <w:t xml:space="preserve">Resolve Campaign row; add Campaign Group and Campaign Engagement rows (pending)</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three new custom Base entities owned by CR (Campaign, Campaign Group, Campaign Engagement). The existing Campaign row in the Entity Inventory has TBD type/status that should be resolved to custom Base, owned by CR. Two new rows should be added for Campaign Group and Campaign Engagement. All three Entity PRDs are deferred to Phase 2b after CR-MARKETING-CAMPAIGNS process definition.</w:t>
            </w:r>
          </w:p>
        </w:tc>
      </w:tr>
      <w:tr>
        <w:tc>
          <w:tcPr>
            <w:tcW w:type="dxa" w:w="2199"/>
          </w:tcPr>
          <w:p>
            <w:r>
              <w:t>Contact-Entity-PRD.docx v1.4 (applied in v1.5)</w:t>
            </w:r>
          </w:p>
        </w:tc>
        <w:tc>
          <w:tcPr>
            <w:tcW w:type="dxa" w:w="3001"/>
          </w:tcPr>
          <w:p>
            <w:r>
              <w:t>Add presenterBio, presenterTopics, lastConversionPushSentAt, lastReactivationSentAt fields; update Section 5.7 narrative (applied)</w:t>
            </w:r>
          </w:p>
        </w:tc>
        <w:tc>
          <w:tcPr>
            <w:tcW w:type="dxa" w:w="4160"/>
          </w:tcPr>
          <w:p>
            <w:r>
              <w:t>CR-EVENTS Sub-Domain Overview v1.0 surfaced two presenter-specific fields. CR-EVENTS-CONVERT v1.0 and CR-REACTIVATE Sub-Domain Overview v1.0 surfaced outreach tracking timestamp fields.</w:t>
            </w:r>
          </w:p>
        </w:tc>
      </w:tr>
      <w:tr>
        <w:tc>
          <w:tcPr>
            <w:tcW w:type="dxa" w:w="2199"/>
          </w:tcPr>
          <w:p>
            <w:r>
              <w:t>Account-Entity-PRD.docx v1.4 (applied in v1.5)</w:t>
            </w:r>
          </w:p>
        </w:tc>
        <w:tc>
          <w:tcPr>
            <w:tcW w:type="dxa" w:w="3001"/>
          </w:tcPr>
          <w:p>
            <w:r>
              <w:t>Add applicantSince field (applied)</w:t>
            </w:r>
          </w:p>
        </w:tc>
        <w:tc>
          <w:tcPr>
            <w:tcW w:type="dxa" w:w="4160"/>
          </w:tcPr>
          <w:p>
            <w:r>
              <w:t>CR-EVENTS-CONVERT v1.0 introduced applicantSince as the application-side anchor for conversion window calculation, system-populated by MN-INTAKE.</w:t>
            </w:r>
          </w:p>
        </w:tc>
      </w:tr>
      <w:tr>
        <w:tc>
          <w:tcPr>
            <w:tcW w:type="dxa" w:w="2199"/>
          </w:tcPr>
          <w:p>
            <w:r>
              <w:t>MN-INTAKE.docx v2.3 (applied in v2.4)</w:t>
            </w:r>
          </w:p>
        </w:tc>
        <w:tc>
          <w:tcPr>
            <w:tcW w:type="dxa" w:w="3001"/>
          </w:tcPr>
          <w:p>
            <w:r>
              <w:t>Extend REQ-011 to populate Account.applicantSince (applied)</w:t>
            </w:r>
          </w:p>
        </w:tc>
        <w:tc>
          <w:tcPr>
            <w:tcW w:type="dxa" w:w="4160"/>
          </w:tcPr>
          <w:p>
            <w:r>
              <w:t>CR-EVENTS-CONVERT v1.0 requires MN-INTAKE to system-populate Account.applicantSince with the current datetime when clientStatus transitions to Applicant.</w:t>
            </w:r>
          </w:p>
        </w:tc>
      </w:tr>
      <w:tr>
        <w:tc>
          <w:tcPr>
            <w:tcW w:type="dxa" w:w="2199"/>
          </w:tcPr>
          <w:p>
            <w:r>
              <w:t>Contact-Entity-PRD.docx v1.5 (applied in v1.6)</w:t>
            </w:r>
          </w:p>
        </w:tc>
        <w:tc>
          <w:tcPr>
            <w:tcW w:type="dxa" w:w="3001"/>
          </w:tcPr>
          <w:p>
            <w:r>
              <w:t>Finalize 8-value howDidYouHearAboutCbm enum; enumerate mentoringFocusAreas, skillsExpertiseTags, fluentLanguages; close CON-ISS-005 through CON-ISS-007 (applied)</w:t>
            </w:r>
          </w:p>
        </w:tc>
        <w:tc>
          <w:tcPr>
            <w:tcW w:type="dxa" w:w="4160"/>
          </w:tcPr>
          <w:p>
            <w:r>
              <w:t>The MR Phase 9 YAML generation session (MR-Y9-EXC-005, programs/MR/EXCEPTIONS.md) revised howDidYouHearAboutCbm from the 10-value list originally locked in CR-MARKETING SDO v1.0 to an 8-value list (Partner Referral, Social Media, CBM Email, Workshop or Event, Search Engine, News or Media, Personal Referral, Other). Email Marketing was renamed to CBM Email; CBM Website and Returning Client were removed. Reactivation outbound is now tracked via Campaign.channel = Reactivation rather than through the enum. Applied in Contact Entity PRD v1.6 alongside enumeration of the three multiEnum value lists (42 mentoringFocusAreas, 33 skillsExpertiseTags, 36 fluentLanguages) and closure of CON-ISS-005 through CON-ISS-007.</w:t>
            </w:r>
          </w:p>
        </w:tc>
      </w:tr>
      <w:tr>
        <w:tc>
          <w:tcPr>
            <w:tcW w:type="dxa" w:w="2199"/>
          </w:tcPr>
          <w:p>
            <w:r>
              <w:t>Account-Entity-PRD.docx v1.5 (applied in v1.6)</w:t>
            </w:r>
          </w:p>
        </w:tc>
        <w:tc>
          <w:tcPr>
            <w:tcW w:type="dxa" w:w="3001"/>
          </w:tcPr>
          <w:p>
            <w:r>
              <w:t>Enumerate 20 NAICS sectors explicitly (applied)</w:t>
            </w:r>
          </w:p>
        </w:tc>
        <w:tc>
          <w:tcPr>
            <w:tcW w:type="dxa" w:w="4160"/>
          </w:tcPr>
          <w:p>
            <w:r>
              <w:t>The MR Phase 9 YAML generation session (MR-Y9-EXC-001) required the Account entity's industry sector field to be enumerated rather than free text. Applied in Account Entity PRD v1.6 as an explicit 20-value NAICS sector list.</w:t>
            </w:r>
          </w:p>
        </w:tc>
      </w:tr>
      <w:tr>
        <w:tc>
          <w:tcPr>
            <w:tcW w:type="dxa" w:w="2199"/>
          </w:tcPr>
          <w:p>
            <w:r>
              <w:t>CBM-SubDomain-Overview-Marketing.docx v1.2 (applied in v1.3)</w:t>
            </w:r>
          </w:p>
        </w:tc>
        <w:tc>
          <w:tcPr>
            <w:tcW w:type="dxa" w:w="3001"/>
          </w:tcPr>
          <w:p>
            <w:r>
              <w:t>Revise channel rollup table for 8-value howDidYouHearAboutCbm list (applied)</w:t>
            </w:r>
          </w:p>
        </w:tc>
        <w:tc>
          <w:tcPr>
            <w:tcW w:type="dxa" w:w="4160"/>
          </w:tcPr>
          <w:p>
            <w:r>
              <w:t>Channel rollup table updated: CBM Website and Returning Client rows removed; Email Marketing renamed to CBM Email; rollup to CR sub-domains restated (Partner Referral → CR-PARTNER; Workshop or Event → CR-EVENTS; CBM Email, Social Media, Search Engine, News or Media → CR-MARKETING; Personal Referral, Other → organic/unattributed). Reactivation outbound is not rolled up through howDidYouHearAboutCbm.</w:t>
            </w:r>
          </w:p>
        </w:tc>
      </w:tr>
    </w:tbl>
    <w:p>
      <w:pPr>
        <w:pStyle w:val="Normal"/>
        <w:spacing w:before="0" w:after="200"/>
        <w:rPr/>
      </w:pPr>
      <w:r>
        <w:rPr/>
      </w:r>
    </w:p>
    <w:p>
      <w:pPr>
        <w:pStyle w:val="Heading1"/>
        <w:spacing w:before="240" w:after="200"/>
        <w:rPr/>
      </w:pPr>
      <w:r>
        <w:rPr/>
        <w:t>6. Open Issues</w:t>
      </w:r>
    </w:p>
    <w:p>
      <w:pPr>
        <w:pStyle w:val="Normal"/>
        <w:spacing w:before="0" w:after="200"/>
        <w:rPr/>
      </w:pPr>
      <w:r>
        <w:rPr/>
        <w:t>No new open issues were identified during the Domain Overview session. All open issues relevant to the CR domain are carried forward from upstream documents and listed in Section 4.7.</w:t>
      </w:r>
    </w:p>
    <w:p>
      <w:pPr>
        <w:pStyle w:val="Heading1"/>
        <w:spacing w:before="240" w:after="200"/>
        <w:rPr/>
      </w:pPr>
      <w:r>
        <w:rPr/>
        <w:t>7. Interview Transcript</w:t>
      </w:r>
    </w:p>
    <w:p>
      <w:pPr>
        <w:pStyle w:val="Normal"/>
        <w:spacing w:before="0" w:after="200"/>
        <w:rPr/>
      </w:pPr>
      <w:r>
        <w:rPr>
          <w:b/>
          <w:bCs/>
          <w:sz w:val="24"/>
          <w:szCs w:val="24"/>
        </w:rPr>
        <w:t>Persona Scoping</w:t>
      </w:r>
    </w:p>
    <w:p>
      <w:pPr>
        <w:pStyle w:val="Normal"/>
        <w:spacing w:before="0" w:after="200"/>
        <w:rPr/>
      </w:pPr>
      <w:r>
        <w:rPr>
          <w:b/>
          <w:bCs/>
        </w:rPr>
        <w:t xml:space="preserve">Q: </w:t>
      </w:r>
      <w:r>
        <w:rPr/>
        <w:t>The Master PRD’s CR “Personas Involved” lists 6 personas but does not include MST-PER-013 (Client). However, the Client persona definition says “Primary Domains: Mentoring, Client Recruiting.” Should the Client persona be added to the CR domain?</w:t>
      </w:r>
    </w:p>
    <w:p>
      <w:pPr>
        <w:pStyle w:val="Normal"/>
        <w:spacing w:before="0" w:after="200"/>
        <w:rPr/>
      </w:pPr>
      <w:r>
        <w:rPr>
          <w:b/>
          <w:bCs/>
        </w:rPr>
        <w:t xml:space="preserve">A: </w:t>
      </w:r>
      <w:r>
        <w:rPr/>
        <w:t>Yes, only because the goal of the process is to locate and recruit clients.</w:t>
      </w:r>
    </w:p>
    <w:p>
      <w:pPr>
        <w:pStyle w:val="Normal"/>
        <w:spacing w:before="0" w:after="200"/>
        <w:rPr/>
      </w:pPr>
      <w:r>
        <w:rPr>
          <w:b/>
          <w:bCs/>
        </w:rPr>
        <w:t xml:space="preserve">Decision: </w:t>
      </w:r>
      <w:r>
        <w:rPr/>
        <w:t>MST-PER-013 (Client) added as the 7th CR domain persona. Master PRD update needed to add Client to the CR persona list.</w:t>
      </w:r>
    </w:p>
    <w:p>
      <w:pPr>
        <w:pStyle w:val="Normal"/>
        <w:spacing w:before="0" w:after="200"/>
        <w:rPr/>
      </w:pPr>
      <w:r>
        <w:rPr>
          <w:b/>
          <w:bCs/>
          <w:sz w:val="24"/>
          <w:szCs w:val="24"/>
        </w:rPr>
        <w:t>Process Inventory — CR-PARTNER</w:t>
      </w:r>
    </w:p>
    <w:p>
      <w:pPr>
        <w:pStyle w:val="Normal"/>
        <w:spacing w:before="0" w:after="200"/>
        <w:rPr/>
      </w:pPr>
      <w:r>
        <w:rPr>
          <w:b/>
          <w:bCs/>
        </w:rPr>
        <w:t xml:space="preserve">Q: </w:t>
      </w:r>
      <w:r>
        <w:rPr/>
        <w:t>The legacy CR Domain PRD treated partner management as a single monolithic process. Should it stay as one process or be broken into multiple? Proposed: CR-PARTNER-PROSPECT (identifying, qualifying, and activating partners) and CR-PARTNER-MANAGE (ongoing relationship management). Two processes rather than five, because the partner lifecycle doesn’t have the distinct application/onboarding gates that the mentor lifecycle does.</w:t>
      </w:r>
    </w:p>
    <w:p>
      <w:pPr>
        <w:pStyle w:val="Normal"/>
        <w:spacing w:before="0" w:after="200"/>
        <w:rPr/>
      </w:pPr>
      <w:r>
        <w:rPr>
          <w:b/>
          <w:bCs/>
        </w:rPr>
        <w:t xml:space="preserve">A: </w:t>
      </w:r>
      <w:r>
        <w:rPr/>
        <w:t>Approved. Two-process breakdown accepted.</w:t>
      </w:r>
    </w:p>
    <w:p>
      <w:pPr>
        <w:pStyle w:val="Normal"/>
        <w:spacing w:before="0" w:after="200"/>
        <w:rPr/>
      </w:pPr>
      <w:r>
        <w:rPr>
          <w:b/>
          <w:bCs/>
        </w:rPr>
        <w:t xml:space="preserve">Decision: </w:t>
      </w:r>
      <w:r>
        <w:rPr/>
        <w:t>CR-PARTNER sub-domain has two processes: CR-PARTNER-PROSPECT and CR-PARTNER-MANAGE.</w:t>
      </w:r>
    </w:p>
    <w:p>
      <w:pPr>
        <w:pStyle w:val="Normal"/>
        <w:spacing w:before="0" w:after="200"/>
        <w:rPr/>
      </w:pPr>
      <w:r>
        <w:rPr>
          <w:b/>
          <w:bCs/>
          <w:sz w:val="24"/>
          <w:szCs w:val="24"/>
        </w:rPr>
        <w:t>Process Inventory — CR-MARKETING</w:t>
      </w:r>
    </w:p>
    <w:p>
      <w:pPr>
        <w:pStyle w:val="Normal"/>
        <w:spacing w:before="0" w:after="200"/>
        <w:rPr/>
      </w:pPr>
      <w:r>
        <w:rPr>
          <w:b/>
          <w:bCs/>
        </w:rPr>
        <w:t xml:space="preserve">Q: </w:t>
      </w:r>
      <w:r>
        <w:rPr/>
        <w:t>The legacy process was a single CR-OUTREACH. Two distinct operational areas proposed: CR-MARKETING-CONTACTS (managing the prospect contact pipeline, list segmentation, platform sync) and CR-MARKETING-CAMPAIGNS (planning, executing, and measuring outreach campaigns, application source attribution). These are tightly coupled but separate operational concerns. Two processes or one?</w:t>
      </w:r>
    </w:p>
    <w:p>
      <w:pPr>
        <w:pStyle w:val="Normal"/>
        <w:spacing w:before="0" w:after="200"/>
        <w:rPr/>
      </w:pPr>
      <w:r>
        <w:rPr>
          <w:b/>
          <w:bCs/>
        </w:rPr>
        <w:t xml:space="preserve">A: </w:t>
      </w:r>
      <w:r>
        <w:rPr/>
        <w:t>Approved. Two-process breakdown accepted.</w:t>
      </w:r>
    </w:p>
    <w:p>
      <w:pPr>
        <w:pStyle w:val="Normal"/>
        <w:spacing w:before="0" w:after="200"/>
        <w:rPr/>
      </w:pPr>
      <w:r>
        <w:rPr>
          <w:b/>
          <w:bCs/>
        </w:rPr>
        <w:t xml:space="preserve">Decision: </w:t>
      </w:r>
      <w:r>
        <w:rPr/>
        <w:t>CR-MARKETING sub-domain has two processes: CR-MARKETING-CONTACTS and CR-MARKETING-CAMPAIGNS.</w:t>
      </w:r>
    </w:p>
    <w:p>
      <w:pPr>
        <w:pStyle w:val="Normal"/>
        <w:spacing w:before="0" w:after="200"/>
        <w:rPr/>
      </w:pPr>
      <w:r>
        <w:rPr>
          <w:b/>
          <w:bCs/>
          <w:sz w:val="24"/>
          <w:szCs w:val="24"/>
        </w:rPr>
        <w:t>Process Inventory — CR-EVENTS</w:t>
      </w:r>
    </w:p>
    <w:p>
      <w:pPr>
        <w:pStyle w:val="Normal"/>
        <w:spacing w:before="0" w:after="200"/>
        <w:rPr/>
      </w:pPr>
      <w:r>
        <w:rPr>
          <w:b/>
          <w:bCs/>
        </w:rPr>
        <w:t xml:space="preserve">Q: </w:t>
      </w:r>
      <w:r>
        <w:rPr/>
        <w:t>The event lifecycle has a natural break between delivery (setup, registration, execution, attendance) and post-event work (follow-up, conversion tracking, analytics). Proposed: CR-EVENTS-MANAGE (event lifecycle through attendance recording) and CR-EVENTS-CONVERT (post-event follow-up and conversion tracking). One process or two?</w:t>
      </w:r>
    </w:p>
    <w:p>
      <w:pPr>
        <w:pStyle w:val="Normal"/>
        <w:spacing w:before="0" w:after="200"/>
        <w:rPr/>
      </w:pPr>
      <w:r>
        <w:rPr>
          <w:b/>
          <w:bCs/>
        </w:rPr>
        <w:t xml:space="preserve">A: </w:t>
      </w:r>
      <w:r>
        <w:rPr/>
        <w:t>Two processes approved.</w:t>
      </w:r>
    </w:p>
    <w:p>
      <w:pPr>
        <w:pStyle w:val="Normal"/>
        <w:spacing w:before="0" w:after="200"/>
        <w:rPr/>
      </w:pPr>
      <w:r>
        <w:rPr>
          <w:b/>
          <w:bCs/>
        </w:rPr>
        <w:t xml:space="preserve">Decision: </w:t>
      </w:r>
      <w:r>
        <w:rPr/>
        <w:t>CR-EVENTS sub-domain has two processes: CR-EVENTS-MANAGE and CR-EVENTS-CONVERT.</w:t>
      </w:r>
    </w:p>
    <w:p>
      <w:pPr>
        <w:pStyle w:val="Normal"/>
        <w:spacing w:before="0" w:after="200"/>
        <w:rPr/>
      </w:pPr>
      <w:r>
        <w:rPr>
          <w:b/>
          <w:bCs/>
          <w:sz w:val="24"/>
          <w:szCs w:val="24"/>
        </w:rPr>
        <w:t>Process Inventory — CR-REACTIVATE</w:t>
      </w:r>
    </w:p>
    <w:p>
      <w:pPr>
        <w:pStyle w:val="Normal"/>
        <w:spacing w:before="0" w:after="200"/>
        <w:rPr/>
      </w:pPr>
      <w:r>
        <w:rPr>
          <w:b/>
          <w:bCs/>
        </w:rPr>
        <w:t xml:space="preserve">Q: </w:t>
      </w:r>
      <w:r>
        <w:rPr/>
        <w:t>The different reactivation target populations (former clients, incomplete applications, unconverted event attendees, past inquiries) share a common operational pattern. Proposed: one process, CR-REACTIVATE-OUTREACH, covering all source categories. The different populations are segments within the same workflow. One process or split?</w:t>
      </w:r>
    </w:p>
    <w:p>
      <w:pPr>
        <w:pStyle w:val="Normal"/>
        <w:spacing w:before="0" w:after="200"/>
        <w:rPr/>
      </w:pPr>
      <w:r>
        <w:rPr>
          <w:b/>
          <w:bCs/>
        </w:rPr>
        <w:t xml:space="preserve">A: </w:t>
      </w:r>
      <w:r>
        <w:rPr/>
        <w:t>One process approved.</w:t>
      </w:r>
    </w:p>
    <w:p>
      <w:pPr>
        <w:pStyle w:val="Normal"/>
        <w:spacing w:before="0" w:after="200"/>
        <w:rPr/>
      </w:pPr>
      <w:r>
        <w:rPr>
          <w:b/>
          <w:bCs/>
        </w:rPr>
        <w:t xml:space="preserve">Decision: </w:t>
      </w:r>
      <w:r>
        <w:rPr/>
        <w:t>CR-REACTIVATE sub-domain has one process: CR-REACTIVATE-OUTREACH.</w:t>
      </w:r>
    </w:p>
    <w:p>
      <w:pPr>
        <w:pStyle w:val="Normal"/>
        <w:spacing w:before="0" w:after="200"/>
        <w:rPr/>
      </w:pPr>
      <w:r>
        <w:rPr>
          <w:b/>
          <w:bCs/>
          <w:sz w:val="24"/>
          <w:szCs w:val="24"/>
        </w:rPr>
        <w:t>Dependency Ordering</w:t>
      </w:r>
    </w:p>
    <w:p>
      <w:pPr>
        <w:pStyle w:val="Normal"/>
        <w:spacing w:before="0" w:after="200"/>
        <w:rPr/>
      </w:pPr>
      <w:r>
        <w:rPr>
          <w:b/>
          <w:bCs/>
        </w:rPr>
        <w:t xml:space="preserve">Q: </w:t>
      </w:r>
      <w:r>
        <w:rPr/>
        <w:t>Proposed production order: CR-PARTNER first (Core tier, partner records referenced by all other sub-domains), then CR-MARKETING (establishes prospect contact patterns), then CR-EVENTS (references partner records, creates attendee data), then CR-REACTIVATE last (receives from all three other sub-domains). Does that ordering work?</w:t>
      </w:r>
    </w:p>
    <w:p>
      <w:pPr>
        <w:pStyle w:val="Normal"/>
        <w:spacing w:before="0" w:after="200"/>
        <w:rPr/>
      </w:pPr>
      <w:r>
        <w:rPr>
          <w:b/>
          <w:bCs/>
        </w:rPr>
        <w:t xml:space="preserve">A: </w:t>
      </w:r>
      <w:r>
        <w:rPr/>
        <w:t>Approved.</w:t>
      </w:r>
    </w:p>
    <w:p>
      <w:pPr>
        <w:pStyle w:val="Normal"/>
        <w:spacing w:before="0" w:after="200"/>
        <w:rPr/>
      </w:pPr>
      <w:r>
        <w:rPr>
          <w:b/>
          <w:bCs/>
        </w:rPr>
        <w:t xml:space="preserve">Decision: </w:t>
      </w:r>
      <w:r>
        <w:rPr/>
        <w:t>Production order confirmed as proposed: 1) CR-PARTNER-PROSPECT, 2) CR-PARTNER-MANAGE, 3) CR-MARKETING-CONTACTS, 4) CR-MARKETING-CAMPAIGNS, 5) CR-EVENTS-MANAGE, 6) CR-EVENTS-CONVERT, 7) CR-REACTIVATE-OUTREACH.</w:t>
      </w:r>
    </w:p>
    <w:p>
      <w:pPr>
        <w:pStyle w:val="Normal"/>
        <w:spacing w:before="0" w:after="200"/>
        <w:rPr/>
      </w:pPr>
      <w:r>
        <w:rPr>
          <w:b/>
          <w:bCs/>
          <w:sz w:val="24"/>
          <w:szCs w:val="24"/>
        </w:rPr>
        <w:t>Cross-Sub-Domain Handoffs</w:t>
      </w:r>
    </w:p>
    <w:p>
      <w:pPr>
        <w:pStyle w:val="Normal"/>
        <w:spacing w:before="0" w:after="200"/>
        <w:rPr/>
      </w:pPr>
      <w:r>
        <w:rPr>
          <w:b/>
          <w:bCs/>
        </w:rPr>
        <w:t xml:space="preserve">Q: </w:t>
      </w:r>
      <w:r>
        <w:rPr/>
        <w:t>Identified six handoff points: CR-PARTNER → CR-EVENTS (co-sponsorship), CR-PARTNER → CR-MARKETING (joint initiatives), CR-PARTNER → MR domain (mentor contributions), CR-EVENTS-CONVERT → CR-REACTIVATE (unconverted attendees), CR-MARKETING-CONTACTS → CR-REACTIVATE (unconverted prospects), and CR (all) → MN-INTAKE (application submission). Any missing?</w:t>
      </w:r>
    </w:p>
    <w:p>
      <w:pPr>
        <w:pStyle w:val="Normal"/>
        <w:spacing w:before="0" w:after="200"/>
        <w:rPr/>
      </w:pPr>
      <w:r>
        <w:rPr>
          <w:b/>
          <w:bCs/>
        </w:rPr>
        <w:t xml:space="preserve">A: </w:t>
      </w:r>
      <w:r>
        <w:rPr/>
        <w:t>Map confirmed as complete.</w:t>
      </w:r>
    </w:p>
    <w:p>
      <w:pPr>
        <w:pStyle w:val="Normal"/>
        <w:spacing w:before="0" w:after="200"/>
        <w:rPr/>
      </w:pPr>
      <w:r>
        <w:rPr>
          <w:b/>
          <w:bCs/>
          <w:sz w:val="24"/>
          <w:szCs w:val="24"/>
        </w:rPr>
        <w:t>CR to MN-INTAKE Boundary</w:t>
      </w:r>
    </w:p>
    <w:p>
      <w:pPr>
        <w:pStyle w:val="Normal"/>
        <w:spacing w:before="0" w:after="200"/>
        <w:rPr/>
      </w:pPr>
      <w:r>
        <w:rPr>
          <w:b/>
          <w:bCs/>
        </w:rPr>
        <w:t xml:space="preserve">Q: </w:t>
      </w:r>
      <w:r>
        <w:rPr/>
        <w:t>Is the application submission the correct boundary between CR and MN? Once submitted, MN-INTAKE owns the lifecycle. CR’s post-submission role is limited to application source attribution. Does CR retain any ongoing role after application submission?</w:t>
      </w:r>
    </w:p>
    <w:p>
      <w:pPr>
        <w:pStyle w:val="Normal"/>
        <w:spacing w:before="0" w:after="200"/>
        <w:rPr/>
      </w:pPr>
      <w:r>
        <w:rPr>
          <w:b/>
          <w:bCs/>
        </w:rPr>
        <w:t xml:space="preserve">A: </w:t>
      </w:r>
      <w:r>
        <w:rPr/>
        <w:t>That is the correct handoff boundary.</w:t>
      </w:r>
    </w:p>
    <w:p>
      <w:pPr>
        <w:pStyle w:val="Normal"/>
        <w:spacing w:before="0" w:after="200"/>
        <w:rPr/>
      </w:pPr>
      <w:r>
        <w:rPr>
          <w:b/>
          <w:bCs/>
        </w:rPr>
        <w:t xml:space="preserve">Decision: </w:t>
      </w:r>
      <w:r>
        <w:rPr/>
        <w:t>Application submission is the definitive boundary between CR and MN domains. CR retains no role post-submission except source attribution.</w:t>
      </w:r>
    </w:p>
    <w:p>
      <w:pPr>
        <w:pStyle w:val="Normal"/>
        <w:spacing w:before="0" w:after="200"/>
        <w:rPr/>
      </w:pPr>
      <w:r>
        <w:rPr>
          <w:b/>
          <w:bCs/>
          <w:sz w:val="24"/>
          <w:szCs w:val="24"/>
        </w:rPr>
        <w:t>Shared Audience Strategy and Consolidated Oversight</w:t>
      </w:r>
    </w:p>
    <w:p>
      <w:pPr>
        <w:pStyle w:val="Normal"/>
        <w:spacing w:before="0" w:after="200"/>
        <w:rPr/>
      </w:pPr>
      <w:r>
        <w:rPr>
          <w:b/>
          <w:bCs/>
        </w:rPr>
        <w:t xml:space="preserve">Q: </w:t>
      </w:r>
      <w:r>
        <w:rPr/>
        <w:t>Consolidated oversight proposed as three functions: channel effectiveness comparison (application source attribution), outreach coordination (preventing duplicate/conflicting outreach), and gap targeting (orienting all sub-domains toward underrepresented geographies, industries, or business stages). Accurate?</w:t>
      </w:r>
    </w:p>
    <w:p>
      <w:pPr>
        <w:pStyle w:val="Normal"/>
        <w:spacing w:before="0" w:after="200"/>
        <w:rPr/>
      </w:pPr>
      <w:r>
        <w:rPr>
          <w:b/>
          <w:bCs/>
        </w:rPr>
        <w:t xml:space="preserve">A: </w:t>
      </w:r>
      <w:r>
        <w:rPr/>
        <w:t>Confirmed as complete.</w:t>
      </w:r>
    </w:p>
    <w:p>
      <w:pPr>
        <w:pStyle w:val="Normal"/>
        <w:spacing w:before="0" w:after="200"/>
        <w:rPr/>
      </w:pPr>
      <w:r>
        <w:rPr>
          <w:b/>
          <w:bCs/>
          <w:sz w:val="24"/>
          <w:szCs w:val="24"/>
        </w:rPr>
        <w:t>Partner Cross-Sub-Domain Tracking</w:t>
      </w:r>
    </w:p>
    <w:p>
      <w:pPr>
        <w:pStyle w:val="Normal"/>
        <w:spacing w:before="0" w:after="200"/>
        <w:rPr/>
      </w:pPr>
      <w:r>
        <w:rPr>
          <w:b/>
          <w:bCs/>
        </w:rPr>
        <w:t xml:space="preserve">Q: </w:t>
      </w:r>
      <w:r>
        <w:rPr/>
        <w:t>Partner organization record is owned by CR-PARTNER. Other sub-domains reference it through relationships on their own records (events link to partners, contacts link to partner accounts). Partner analytics are roll-up views assembled from cross-entity relationships. Should partner involvement in other sub-domains be formalized differently?</w:t>
      </w:r>
    </w:p>
    <w:p>
      <w:pPr>
        <w:pStyle w:val="Normal"/>
        <w:spacing w:before="0" w:after="200"/>
        <w:rPr/>
      </w:pPr>
      <w:r>
        <w:rPr>
          <w:b/>
          <w:bCs/>
        </w:rPr>
        <w:t xml:space="preserve">A: </w:t>
      </w:r>
      <w:r>
        <w:rPr/>
        <w:t>Confirmed. Reference approach accepted.</w:t>
      </w:r>
    </w:p>
    <w:p>
      <w:pPr>
        <w:pStyle w:val="Normal"/>
        <w:spacing w:before="0" w:after="200"/>
        <w:rPr/>
      </w:pPr>
      <w:r>
        <w:rPr>
          <w:b/>
          <w:bCs/>
          <w:sz w:val="24"/>
          <w:szCs w:val="24"/>
        </w:rPr>
        <w:t>Deferred Entity Fields</w:t>
      </w:r>
    </w:p>
    <w:p>
      <w:pPr>
        <w:pStyle w:val="Normal"/>
        <w:spacing w:before="0" w:after="200"/>
        <w:rPr/>
      </w:pPr>
      <w:r>
        <w:rPr>
          <w:b/>
          <w:bCs/>
        </w:rPr>
        <w:t xml:space="preserve">Q: </w:t>
      </w:r>
      <w:r>
        <w:rPr/>
        <w:t>Anticipated CR additions to Contact entity: client lifecycle field, partner lifecycle field, partner-specific custom fields, presenter-specific fields, member-specific fields, How Did You Hear About CBM values. Anticipated Account additions: client lifecycle field, geographic service area format resolution, additional partner-specific fields. Three new entities deferred (Partnership Agreement, Event, Event Registration). Does that capture the anticipated field landscape?</w:t>
      </w:r>
    </w:p>
    <w:p>
      <w:pPr>
        <w:pStyle w:val="Normal"/>
        <w:spacing w:before="0" w:after="200"/>
        <w:rPr/>
      </w:pPr>
      <w:r>
        <w:rPr>
          <w:b/>
          <w:bCs/>
        </w:rPr>
        <w:t xml:space="preserve">A: </w:t>
      </w:r>
      <w:r>
        <w:rPr/>
        <w:t>Confirmed as complete.</w:t>
      </w:r>
    </w:p>
    <w:p>
      <w:pPr>
        <w:pStyle w:val="Normal"/>
        <w:spacing w:before="0" w:after="200"/>
        <w:rPr/>
      </w:pPr>
      <w:r>
        <w:rPr>
          <w:b/>
          <w:bCs/>
          <w:sz w:val="24"/>
          <w:szCs w:val="24"/>
        </w:rPr>
        <w:t>Persona Scoping Confirmation</w:t>
      </w:r>
    </w:p>
    <w:p>
      <w:pPr>
        <w:pStyle w:val="Normal"/>
        <w:spacing w:before="0" w:after="200"/>
        <w:rPr/>
      </w:pPr>
      <w:r>
        <w:rPr>
          <w:b/>
          <w:bCs/>
        </w:rPr>
        <w:t xml:space="preserve">Q: </w:t>
      </w:r>
      <w:r>
        <w:rPr/>
        <w:t>Final persona scoping presented for confirmation: 7 personas with domain-specific roles. One Master PRD update identified (add MST-PER-013). Ready to produce document?</w:t>
      </w:r>
    </w:p>
    <w:p>
      <w:pPr>
        <w:pStyle w:val="Normal"/>
        <w:spacing w:before="0" w:after="200"/>
        <w:rPr/>
      </w:pPr>
      <w:r>
        <w:rPr>
          <w:b/>
          <w:bCs/>
        </w:rPr>
        <w:t xml:space="preserve">A: </w:t>
      </w:r>
      <w:r>
        <w:rPr/>
        <w:t>Confirmed. Ready to produce.</w:t>
      </w:r>
    </w:p>
    <w:p>
      <w:pPr>
        <w:pStyle w:val="Heading1"/>
        <w:spacing w:before="240" w:after="200"/>
        <w:rPr/>
      </w:pPr>
      <w:r>
        <w:rPr/>
        <w:t>8. Change Log</w:t>
      </w:r>
    </w:p>
    <w:p>
      <w:pPr>
        <w:pStyle w:val="Normal"/>
        <w:spacing w:before="0" w:after="200"/>
        <w:rPr/>
      </w:pPr>
      <w:r>
        <w:rPr/>
        <w:t>Revision history for this document. The Last Updated value in the metadata table reflects the most recent entry below.</w:t>
      </w:r>
    </w:p>
    <w:tbl>
      <w:tblPr>
        <w:tblW w:w="9360" w:type="dxa"/>
        <w:jc w:val="left"/>
        <w:tblInd w:w="0" w:type="dxa"/>
        <w:tblLayout w:type="fixed"/>
        <w:tblCellMar>
          <w:top w:w="80" w:type="dxa"/>
          <w:left w:w="120" w:type="dxa"/>
          <w:bottom w:w="80" w:type="dxa"/>
          <w:right w:w="120" w:type="dxa"/>
        </w:tblCellMar>
      </w:tblPr>
      <w:tblGrid>
        <w:gridCol w:w="1200"/>
        <w:gridCol w:w="1700"/>
        <w:gridCol w:w="6460"/>
      </w:tblGrid>
      <w:tr>
        <w:trPr/>
        <w:tc>
          <w:tcPr>
            <w:tcW w:w="1200" w:type="dxa"/>
            <w:tcBorders>
              <w:top w:val="single" w:sz="2" w:space="0" w:color="CCCCCC"/>
              <w:left w:val="single" w:sz="2" w:space="0" w:color="CCCCCC"/>
              <w:bottom w:val="single" w:sz="2" w:space="0" w:color="CCCCCC"/>
              <w:right w:val="single" w:sz="2" w:space="0" w:color="CCCCCC"/>
            </w:tcBorders>
            <w:shd w:fill="D5E8F0" w:val="clear"/>
          </w:tcPr>
          <w:p>
            <w:r>
              <w:rPr>
                <w:b/>
                <w:bCs/>
                <w:sz w:val="22"/>
                <w:szCs w:val="22"/>
              </w:rPr>
              <w:t>Version</w:t>
            </w:r>
          </w:p>
        </w:tc>
        <w:tc>
          <w:tcPr>
            <w:tcW w:w="1700" w:type="dxa"/>
            <w:tcBorders>
              <w:top w:val="single" w:sz="2" w:space="0" w:color="CCCCCC"/>
              <w:left w:val="single" w:sz="2" w:space="0" w:color="CCCCCC"/>
              <w:bottom w:val="single" w:sz="2" w:space="0" w:color="CCCCCC"/>
              <w:right w:val="single" w:sz="2" w:space="0" w:color="CCCCCC"/>
            </w:tcBorders>
            <w:shd w:fill="D5E8F0" w:val="clear"/>
          </w:tcPr>
          <w:p>
            <w:r>
              <w:rPr>
                <w:b/>
                <w:bCs/>
                <w:sz w:val="22"/>
                <w:szCs w:val="22"/>
              </w:rPr>
              <w:t>Date</w:t>
            </w:r>
          </w:p>
        </w:tc>
        <w:tc>
          <w:tcPr>
            <w:tcW w:w="6460" w:type="dxa"/>
            <w:tcBorders>
              <w:top w:val="single" w:sz="2" w:space="0" w:color="CCCCCC"/>
              <w:left w:val="single" w:sz="2" w:space="0" w:color="CCCCCC"/>
              <w:bottom w:val="single" w:sz="2" w:space="0" w:color="CCCCCC"/>
              <w:right w:val="single" w:sz="2" w:space="0" w:color="CCCCCC"/>
            </w:tcBorders>
            <w:shd w:fill="D5E8F0" w:val="clear"/>
          </w:tcPr>
          <w:p>
            <w:r>
              <w:rPr>
                <w:b/>
                <w:bCs/>
                <w:sz w:val="22"/>
                <w:szCs w:val="22"/>
              </w:rPr>
              <w:t>Changes</w:t>
            </w:r>
          </w:p>
        </w:tc>
      </w:tr>
      <w:tr>
        <w:trPr/>
        <w:tc>
          <w:tcPr>
            <w:tcW w:w="1200" w:type="dxa"/>
            <w:tcBorders>
              <w:top w:val="single" w:sz="2" w:space="0" w:color="CCCCCC"/>
              <w:left w:val="single" w:sz="2" w:space="0" w:color="CCCCCC"/>
              <w:bottom w:val="single" w:sz="2" w:space="0" w:color="CCCCCC"/>
              <w:right w:val="single" w:sz="2" w:space="0" w:color="CCCCCC"/>
            </w:tcBorders>
          </w:tcPr>
          <w:p>
            <w:r>
              <w:rPr>
                <w:b/>
                <w:bCs/>
              </w:rPr>
              <w:t>1.0</w:t>
            </w:r>
          </w:p>
        </w:tc>
        <w:tc>
          <w:tcPr>
            <w:tcW w:w="1700" w:type="dxa"/>
            <w:tcBorders>
              <w:top w:val="single" w:sz="2" w:space="0" w:color="CCCCCC"/>
              <w:left w:val="single" w:sz="2" w:space="0" w:color="CCCCCC"/>
              <w:bottom w:val="single" w:sz="2" w:space="0" w:color="CCCCCC"/>
              <w:right w:val="single" w:sz="2" w:space="0" w:color="CCCCCC"/>
            </w:tcBorders>
          </w:tcPr>
          <w:p>
            <w:r>
              <w:t>04-07-26</w:t>
            </w:r>
          </w:p>
        </w:tc>
        <w:tc>
          <w:tcPr>
            <w:tcW w:w="6460" w:type="dxa"/>
            <w:tcBorders>
              <w:top w:val="single" w:sz="2" w:space="0" w:color="CCCCCC"/>
              <w:left w:val="single" w:sz="2" w:space="0" w:color="CCCCCC"/>
              <w:bottom w:val="single" w:sz="2" w:space="0" w:color="CCCCCC"/>
              <w:right w:val="single" w:sz="2" w:space="0" w:color="CCCCCC"/>
            </w:tcBorders>
          </w:tcPr>
          <w:p>
            <w:r>
              <w:t>Initial CR Domain Overview. Establishes the CR domain purpose, four sub-domains (CR-PARTNER, CR-MARKETING, CR-EVENTS, CR-REACTIVATE), seven processes in dependency order, persona scoping, entity summary, and open-issues carried forward.</w:t>
            </w:r>
          </w:p>
        </w:tc>
      </w:tr>
      <w:tr>
        <w:trPr/>
        <w:tc>
          <w:tcPr>
            <w:tcW w:w="1200" w:type="dxa"/>
            <w:tcBorders>
              <w:top w:val="single" w:sz="2" w:space="0" w:color="CCCCCC"/>
              <w:left w:val="single" w:sz="2" w:space="0" w:color="CCCCCC"/>
              <w:bottom w:val="single" w:sz="2" w:space="0" w:color="CCCCCC"/>
              <w:right w:val="single" w:sz="2" w:space="0" w:color="CCCCCC"/>
            </w:tcBorders>
          </w:tcPr>
          <w:p>
            <w:r>
              <w:rPr>
                <w:b/>
                <w:bCs/>
              </w:rPr>
              <w:t>1.1</w:t>
            </w:r>
          </w:p>
        </w:tc>
        <w:tc>
          <w:tcPr>
            <w:tcW w:w="1700" w:type="dxa"/>
            <w:tcBorders>
              <w:top w:val="single" w:sz="2" w:space="0" w:color="CCCCCC"/>
              <w:left w:val="single" w:sz="2" w:space="0" w:color="CCCCCC"/>
              <w:bottom w:val="single" w:sz="2" w:space="0" w:color="CCCCCC"/>
              <w:right w:val="single" w:sz="2" w:space="0" w:color="CCCCCC"/>
            </w:tcBorders>
          </w:tcPr>
          <w:p>
            <w:r>
              <w:t>04-08-26</w:t>
            </w:r>
          </w:p>
        </w:tc>
        <w:tc>
          <w:tcPr>
            <w:tcW w:w="6460" w:type="dxa"/>
            <w:tcBorders>
              <w:top w:val="single" w:sz="2" w:space="0" w:color="CCCCCC"/>
              <w:left w:val="single" w:sz="2" w:space="0" w:color="CCCCCC"/>
              <w:bottom w:val="single" w:sz="2" w:space="0" w:color="CCCCCC"/>
              <w:right w:val="single" w:sz="2" w:space="0" w:color="CCCCCC"/>
            </w:tcBorders>
          </w:tcPr>
          <w:p>
            <w:r>
              <w:t>CR-MARKETING Sub-Domain Overview v1.0 carry-forward. Depends On list updated to reference new upstream versions. Section 4.7 updated with CON-ISS-001, CON-ISS-008, and ACT-ISS-001 closures and ACT-ISS-004 supersession note. Section 5 expanded with five new carry-forward entries.</w:t>
            </w:r>
          </w:p>
        </w:tc>
      </w:tr>
      <w:tr>
        <w:trPr/>
        <w:tc>
          <w:tcPr>
            <w:tcW w:w="1200" w:type="dxa"/>
            <w:tcBorders>
              <w:top w:val="single" w:sz="2" w:space="0" w:color="CCCCCC"/>
              <w:left w:val="single" w:sz="2" w:space="0" w:color="CCCCCC"/>
              <w:bottom w:val="single" w:sz="2" w:space="0" w:color="CCCCCC"/>
              <w:right w:val="single" w:sz="2" w:space="0" w:color="CCCCCC"/>
            </w:tcBorders>
          </w:tcPr>
          <w:p>
            <w:r>
              <w:rPr>
                <w:b/>
                <w:bCs/>
              </w:rPr>
              <w:t>1.2</w:t>
            </w:r>
          </w:p>
        </w:tc>
        <w:tc>
          <w:tcPr>
            <w:tcW w:w="1700" w:type="dxa"/>
            <w:tcBorders>
              <w:top w:val="single" w:sz="2" w:space="0" w:color="CCCCCC"/>
              <w:left w:val="single" w:sz="2" w:space="0" w:color="CCCCCC"/>
              <w:bottom w:val="single" w:sz="2" w:space="0" w:color="CCCCCC"/>
              <w:right w:val="single" w:sz="2" w:space="0" w:color="CCCCCC"/>
            </w:tcBorders>
          </w:tcPr>
          <w:p>
            <w:r>
              <w:t>04-16-26 01:15</w:t>
            </w:r>
          </w:p>
        </w:tc>
        <w:tc>
          <w:tcPr>
            <w:tcW w:w="6460" w:type="dxa"/>
            <w:tcBorders>
              <w:top w:val="single" w:sz="2" w:space="0" w:color="CCCCCC"/>
              <w:left w:val="single" w:sz="2" w:space="0" w:color="CCCCCC"/>
              <w:bottom w:val="single" w:sz="2" w:space="0" w:color="CCCCCC"/>
              <w:right w:val="single" w:sz="2" w:space="0" w:color="CCCCCC"/>
            </w:tcBorders>
          </w:tcPr>
          <w:p>
            <w:r>
              <w:t>CR-EVENTS Sub-Domain Overview v1.0 carry-forward. Added CR-EVENTS-ISS-001 (event feedback surveys deferred) to the open issues carried forward table.</w:t>
            </w:r>
          </w:p>
        </w:tc>
      </w:tr>
      <w:tr>
        <w:trPr/>
        <w:tc>
          <w:tcPr>
            <w:tcW w:w="1200" w:type="dxa"/>
            <w:tcBorders>
              <w:top w:val="single" w:sz="2" w:space="0" w:color="CCCCCC"/>
              <w:left w:val="single" w:sz="2" w:space="0" w:color="CCCCCC"/>
              <w:bottom w:val="single" w:sz="2" w:space="0" w:color="CCCCCC"/>
              <w:right w:val="single" w:sz="2" w:space="0" w:color="CCCCCC"/>
            </w:tcBorders>
          </w:tcPr>
          <w:p>
            <w:r>
              <w:rPr>
                <w:b/>
                <w:bCs/>
              </w:rPr>
              <w:t>1.3</w:t>
            </w:r>
          </w:p>
        </w:tc>
        <w:tc>
          <w:tcPr>
            <w:tcW w:w="1700" w:type="dxa"/>
            <w:tcBorders>
              <w:top w:val="single" w:sz="2" w:space="0" w:color="CCCCCC"/>
              <w:left w:val="single" w:sz="2" w:space="0" w:color="CCCCCC"/>
              <w:bottom w:val="single" w:sz="2" w:space="0" w:color="CCCCCC"/>
              <w:right w:val="single" w:sz="2" w:space="0" w:color="CCCCCC"/>
            </w:tcBorders>
          </w:tcPr>
          <w:p>
            <w:r>
              <w:t>04-20-26 15:17</w:t>
            </w:r>
          </w:p>
        </w:tc>
        <w:tc>
          <w:tcPr>
            <w:tcW w:w="6460" w:type="dxa"/>
            <w:tcBorders>
              <w:top w:val="single" w:sz="2" w:space="0" w:color="CCCCCC"/>
              <w:left w:val="single" w:sz="2" w:space="0" w:color="CCCCCC"/>
              <w:bottom w:val="single" w:sz="2" w:space="0" w:color="CCCCCC"/>
              <w:right w:val="single" w:sz="2" w:space="0" w:color="CCCCCC"/>
            </w:tcBorders>
          </w:tcPr>
          <w:p>
            <w:r>
              <w:t>MR Phase 9 follow-up carry-forward (MR-Y9-EXC-005). Section 4.7 CON-ISS-008 description rewritten to reflect the 8-value howDidYouHearAboutCbm list with revised channel rollup and reactivation-via-Campaign-tracking note, citing Contact Entity PRD v1.6 as the source of record. Section 4.2 and Section 4.3 narrative updated to reference Contact Entity PRD v1.6 and Account Entity PRD v1.6; specific native/custom field counts replaced with durable language. Three new rows appended to Section 5 Updates to Prior Documents capturing Contact Entity PRD v1.5 to v1.6, Account Entity PRD v1.5 to v1.6, and CR-MARKETING SDO v1.2 to v1.3 updates. Depends On bumped to Entity Inventory v1.5, Contact Entity PRD v1.6, Account Entity PRD v1.6.</w:t>
            </w:r>
          </w:p>
        </w:tc>
      </w:tr>
    </w:tbl>
    <w:p>
      <w:pPr>
        <w:pStyle w:val="Normal"/>
        <w:spacing w:before="0" w:after="200"/>
        <w:rPr/>
      </w:p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2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200"/>
      <w:outlineLvl w:val="0"/>
    </w:pPr>
    <w:rPr>
      <w:rFonts w:ascii="Arial" w:hAnsi="Arial" w:eastAsia="Arial" w:cs="Arial"/>
      <w:b/>
      <w:bCs/>
      <w:sz w:val="32"/>
      <w:szCs w:val="32"/>
    </w:rPr>
  </w:style>
  <w:style w:type="paragraph" w:styleId="Heading2">
    <w:name w:val="Heading 2"/>
    <w:basedOn w:val="Heading"/>
    <w:qFormat/>
    <w:pPr>
      <w:spacing w:before="240" w:after="180"/>
      <w:outlineLvl w:val="1"/>
    </w:pPr>
    <w:rPr>
      <w:rFonts w:ascii="Arial" w:hAnsi="Arial" w:eastAsia="Arial" w:cs="Arial"/>
      <w:b/>
      <w:bCs/>
      <w:sz w:val="28"/>
      <w:szCs w:val="28"/>
    </w:rPr>
  </w:style>
  <w:style w:type="paragraph" w:styleId="Heading3">
    <w:name w:val="Heading 3"/>
    <w:basedOn w:val="Heading"/>
    <w:qFormat/>
    <w:pPr>
      <w:spacing w:before="200" w:after="16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14</Pages>
  <Words>3907</Words>
  <Characters>26532</Characters>
  <CharactersWithSpaces>30171</CharactersWithSpaces>
  <Paragraphs>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2026-04-05T15:45:46Z</dcterms:created>
  <dc:creator>Un-named</dc:creator>
  <dc:description/>
  <dc:language>en-US</dc:language>
  <cp:lastModifiedBy/>
  <dcterms:modified xsi:type="dcterms:W3CDTF">2026-04-06T14:43:47Z</dcterms:modified>
  <cp:revision>2</cp:revision>
  <dc:subject/>
  <dc:title/>
</cp:coreProperties>
</file>