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04-07-26 04:35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 xml:space="preserve">Prospect is a lifecycle state, not a contactType value. A mentor prospect is a Contact with contactType = Mentor at Mentor Status = Prospect. Client prospects have not yet entered the system through the intake process.</w:t>
      </w:r>
    </w:p>
    <w:p>
      <w:pPr>
        <w:spacing w:after="120"/>
      </w:pPr>
      <w:r>
        <w:rPr>
          <w:rFonts w:ascii="Arial" w:cs="Arial" w:eastAsia="Arial" w:hAnsi="Arial"/>
          <w:b/>
          <w:bCs/>
          <w:i w:val="false"/>
          <w:iCs w:val="false"/>
          <w:sz w:val="22"/>
          <w:szCs w:val="22"/>
        </w:rPr>
        <w:t xml:space="preserve">Domain coverage: </w:t>
      </w:r>
      <w:r>
        <w:rPr>
          <w:rFonts w:ascii="Arial" w:cs="Arial" w:eastAsia="Arial" w:hAnsi="Arial"/>
          <w:b w:val="false"/>
          <w:bCs w:val="false"/>
          <w:i w:val="false"/>
          <w:iCs w:val="false"/>
          <w:sz w:val="22"/>
          <w:szCs w:val="22"/>
        </w:rPr>
        <w:t xml:space="preserve">The Mentoring (MN) domain has complete field-level detail from the reconciled Domain PRD v1.0 and five process documents. The Mentor Recruitment (MR) domain has detailed field definitions from the legacy Domain PRD v1.0. The Client Recruiting (CR) and Fundraising (FU) domains have summary-level data from the Master PRD only. This Entity PRD will require updates when CR and FU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MR-ISS-003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contact learned about CBM. Recorded at point of first contact for any contact type. Supports referral channel and outreach effectiveness reporting.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duesRenewalDate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DUES-DEC-005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annual dues renewal date, derived from their activation anniversary. Used by the Mentor Administrator to determine when to create each year’s Dues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Added from Dues Entity PRD (DUES-DEC-005).</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No custom fields beyond the shared fields in Section 3.1. A Client-specific lifecycle field (analogous to mentorStatus) is an open issue (CON-ISS-001). Field-level detail is available from the MN Domain PRD for Client Contact identity fields, but these map to native fields (Section 2).</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CON-ISS-002 is closed: partner lifecycle is tracked at the Account level via partnerStatus, not at the Contact level. No Partner-specific lifecycle field is needed on Contact. Other Partner Contact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Presenter</w:t>
      </w:r>
      <w:r>
        <w:rPr>
          <w:rFonts w:ascii="Arial" w:cs="Arial" w:eastAsia="Arial" w:hAnsi="Arial"/>
          <w:b w:val="false"/>
          <w:bCs w:val="false"/>
          <w:i w:val="false"/>
          <w:iCs w:val="false"/>
          <w:sz w:val="22"/>
          <w:szCs w:val="22"/>
        </w:rPr>
        <w:t xml:space="preserve"> — No custom fields defined. Presenter-specific fields (if any) will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duesRenewalDate,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CON-ISS-002 is closed: partner lifecycle is tracked at the Account level via partnerStatus, so no Partner lifecycle field on Contact is needed. If other Partner-specific fields are identified during remaining CR domain process definition, dynamic logic visibility rules (contactType has Partner) will be added at that time.</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No type-specific custom fields are defined for these types beyond the CBM internal fields in Section 5.1. Dynamic logic rules will be added if type-specific fields are defined during CR domain process work.</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 duesRenewalDate.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duesRenewalDate,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 Contact type Client needs a lifecycle field analogous to mentorStatus. The lifecycle stages and field definition will be established during CR domain process definition or MN-INTAKE Entity PRD work. Carried forward from EI-ISS-004.</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(v1.2): Partner lifecycle is tracked at the Account level via partnerStatus, not at the Contact level. No Partner-specific lifecycle field is needed on Contact. Resolved during CR-PARTNER Sub-Domain Overview session and applied per CR-PARTNER-MANAGE updates.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allowed values not defined.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yet defined by CBM leadership.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yet defined by CBM leadership.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Did You Hear About CBM: dropdown values not yet defined by CBM leadership. Carried forward from MR-ISS-003.</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