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1.5  |  In Progress  |  March 21,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 CBM-PRD-CRM-</w:t>
      </w:r>
      <w:r>
        <w:rPr/>
        <w:t>Partner</w:t>
      </w:r>
      <w:r>
        <w:rPr/>
        <w:t>.docx (</w:t>
      </w:r>
      <w:r>
        <w:rPr/>
        <w:t>Partner</w:t>
      </w:r>
      <w:r>
        <w:rPr/>
        <w:t xml:space="preserve"> domain), CBM-PRD-CRM-</w:t>
      </w:r>
      <w:r>
        <w:rPr/>
        <w:t>Sponsor</w:t>
      </w:r>
      <w:r>
        <w:rPr/>
        <w:t>.docx (</w:t>
      </w:r>
      <w:r>
        <w:rPr/>
        <w:t>Spons</w:t>
      </w:r>
      <w:r>
        <w:rPr/>
        <w:t>or domain).</w:t>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14"/>
        </w:numPr>
        <w:spacing w:before="0" w:after="60"/>
        <w:rPr/>
      </w:pPr>
      <w:r>
        <w:rPr/>
        <w:t>Company — the business being mentored</w:t>
      </w:r>
    </w:p>
    <w:p>
      <w:pPr>
        <w:pStyle w:val="Normal"/>
        <w:numPr>
          <w:ilvl w:val="0"/>
          <w:numId w:val="15"/>
        </w:numPr>
        <w:spacing w:before="0" w:after="60"/>
        <w:rPr/>
      </w:pPr>
      <w:r>
        <w:rPr/>
        <w:t>Contact — individual person(s) associated with the business</w:t>
      </w:r>
    </w:p>
    <w:p>
      <w:pPr>
        <w:pStyle w:val="Normal"/>
        <w:numPr>
          <w:ilvl w:val="0"/>
          <w:numId w:val="16"/>
        </w:numPr>
        <w:spacing w:before="0" w:after="60"/>
        <w:rPr/>
      </w:pPr>
      <w:r>
        <w:rPr/>
        <w:t>Engagement — the active mentoring relationship</w:t>
      </w:r>
    </w:p>
    <w:p>
      <w:pPr>
        <w:pStyle w:val="Normal"/>
        <w:numPr>
          <w:ilvl w:val="0"/>
          <w:numId w:val="17"/>
        </w:numPr>
        <w:spacing w:before="0" w:after="60"/>
        <w:rPr/>
      </w:pPr>
      <w:r>
        <w:rPr/>
        <w:t>Session — individual meeting records between mentor and client</w:t>
      </w:r>
    </w:p>
    <w:p>
      <w:pPr>
        <w:pStyle w:val="Normal"/>
        <w:numPr>
          <w:ilvl w:val="0"/>
          <w:numId w:val="18"/>
        </w:numPr>
        <w:spacing w:before="0" w:after="60"/>
        <w:rPr/>
      </w:pPr>
      <w:r>
        <w:rPr/>
        <w:t>NPS Survey Response — client satisfaction feedback records</w:t>
      </w:r>
    </w:p>
    <w:p>
      <w:pPr>
        <w:pStyle w:val="Normal"/>
        <w:numPr>
          <w:ilvl w:val="0"/>
          <w:numId w:val="19"/>
        </w:numPr>
        <w:spacing w:before="0" w:after="60"/>
        <w:rPr/>
      </w:pPr>
      <w:r>
        <w:rPr/>
        <w:t>Workshop — structured events offered by CBM</w:t>
      </w:r>
    </w:p>
    <w:p>
      <w:pPr>
        <w:pStyle w:val="Normal"/>
        <w:numPr>
          <w:ilvl w:val="0"/>
          <w:numId w:val="20"/>
        </w:numPr>
        <w:spacing w:before="0" w:after="60"/>
        <w:rPr/>
      </w:pPr>
      <w:r>
        <w:rPr/>
        <w:t>Workshop Attendance — records linking clients to workshops attended</w:t>
      </w:r>
    </w:p>
    <w:p>
      <w:pPr>
        <w:pStyle w:val="Heading2"/>
        <w:rPr/>
      </w:pPr>
      <w:r>
        <w:rPr/>
        <w:t>2.2 Company Entity</w:t>
      </w:r>
    </w:p>
    <w:p>
      <w:pPr>
        <w:pStyle w:val="Normal"/>
        <w:spacing w:before="0" w:after="120"/>
        <w:rPr/>
      </w:pPr>
      <w:r>
        <w:rPr/>
        <w:t xml:space="preserve">The Company entity represents the business being mentored </w:t>
      </w:r>
      <w:r>
        <w:rPr/>
        <w:t xml:space="preserve">in addition to </w:t>
      </w:r>
      <w:r>
        <w:rPr/>
        <w:t>Companies that are Sponsors, or Partners.  The four types of Companies are differentiated by the Company Role property</w:t>
      </w:r>
      <w:r>
        <w:rPr/>
        <w:t xml:space="preserve">.  </w:t>
      </w:r>
      <w:r>
        <w:rPr/>
        <w:t>A single company can be multiple types.</w:t>
      </w:r>
    </w:p>
    <w:p>
      <w:pPr>
        <w:pStyle w:val="Normal"/>
        <w:spacing w:before="0" w:after="120"/>
        <w:rPr/>
      </w:pPr>
      <w:r>
        <w:rPr/>
        <w:t>Companies are</w:t>
      </w:r>
      <w:r>
        <w:rPr/>
        <w:t xml:space="preserve"> the anchor record to which all Contacts, Engagements, and related activity are linked </w:t>
      </w:r>
      <w:r>
        <w:rPr/>
        <w:t>for the Mentoring process</w:t>
      </w:r>
      <w:r>
        <w:rPr/>
        <w:t>. All Company fields may be viewed and modified by the assigned mentor or any administrator directly within the CRM. The forms through which these fields are initially populated are defined in Section 4.1.</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tbl>
      <w:tblPr>
        <w:tblW w:w="9360" w:type="dxa"/>
        <w:jc w:val="left"/>
        <w:tblInd w:w="0" w:type="dxa"/>
        <w:tblLayout w:type="fixed"/>
        <w:tblCellMar>
          <w:top w:w="80" w:type="dxa"/>
          <w:left w:w="120" w:type="dxa"/>
          <w:bottom w:w="80" w:type="dxa"/>
          <w:right w:w="120" w:type="dxa"/>
        </w:tblCellMar>
      </w:tblPr>
      <w:tblGrid>
        <w:gridCol w:w="2500"/>
        <w:gridCol w:w="6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 Role</w:t>
            </w:r>
          </w:p>
        </w:tc>
        <w:tc>
          <w:tcPr>
            <w:tcW w:w="6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 xml:space="preserve">Multi-select dropdown. Values to be defined by CBM leadership. Required. Used for </w:t>
            </w:r>
            <w:r>
              <w:rPr>
                <w:rFonts w:eastAsia="Arial" w:cs="Arial"/>
                <w:sz w:val="18"/>
                <w:szCs w:val="18"/>
              </w:rPr>
              <w:t>differentiating between different types of companies</w:t>
            </w:r>
            <w:r>
              <w:rPr>
                <w:rFonts w:eastAsia="Arial" w:cs="Arial"/>
                <w:sz w:val="18"/>
                <w:szCs w:val="18"/>
              </w:rPr>
              <w:t>.</w:t>
            </w:r>
          </w:p>
        </w:tc>
      </w:tr>
    </w:tbl>
    <w:p>
      <w:pPr>
        <w:pStyle w:val="Normal"/>
        <w:rPr/>
      </w:pPr>
      <w:r>
        <w:rPr/>
      </w:r>
    </w:p>
    <w:p>
      <w:pPr>
        <w:pStyle w:val="Normal"/>
        <w:spacing w:before="0" w:after="120"/>
        <w:rPr/>
      </w:pPr>
      <w:r>
        <w:rPr/>
        <w:t>The following fields capture additional business detail. They are typically empty for newly submitted clients and are completed at the mentor’s discretion after assignment. All free-text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r>
      <w:r>
        <w:br w:type="page"/>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r>
      <w:r>
        <w:br w:type="page"/>
      </w:r>
    </w:p>
    <w:p>
      <w:pPr>
        <w:pStyle w:val="Heading2"/>
        <w:rPr/>
      </w:pPr>
      <w:r>
        <w:rPr/>
        <w:t>2.4 Engagement Entity</w:t>
      </w:r>
    </w:p>
    <w:p>
      <w:pPr>
        <w:pStyle w:val="Normal"/>
        <w:spacing w:before="0" w:after="120"/>
        <w:rPr/>
      </w:pPr>
      <w:r>
        <w:rPr/>
        <w:t xml:space="preserve">The Engagement entity </w:t>
      </w:r>
      <w:r>
        <w:rPr/>
        <w:t>defines</w:t>
      </w:r>
      <w:r>
        <w:rPr/>
        <w:t xml:space="preserve">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21"/>
        </w:numPr>
        <w:spacing w:before="0" w:after="60"/>
        <w:rPr/>
      </w:pPr>
      <w:r>
        <w:rPr/>
        <w:t>Submitted — Mentoring Request received; pending admin review and mentor nomination.</w:t>
      </w:r>
    </w:p>
    <w:p>
      <w:pPr>
        <w:pStyle w:val="Normal"/>
        <w:numPr>
          <w:ilvl w:val="0"/>
          <w:numId w:val="22"/>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23"/>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24"/>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25"/>
        </w:numPr>
        <w:spacing w:before="0" w:after="60"/>
        <w:rPr/>
      </w:pPr>
      <w:r>
        <w:rPr/>
        <w:t>Active — Mentoring is underway; sessions are being logged.</w:t>
      </w:r>
    </w:p>
    <w:p>
      <w:pPr>
        <w:pStyle w:val="Normal"/>
        <w:numPr>
          <w:ilvl w:val="0"/>
          <w:numId w:val="26"/>
        </w:numPr>
        <w:spacing w:before="0" w:after="60"/>
        <w:rPr/>
      </w:pPr>
      <w:r>
        <w:rPr/>
        <w:t>On-Hold — A deliberate, temporary pause initiated by the client or mentor with intent to resume. May be set from Active or Dormant status.</w:t>
      </w:r>
    </w:p>
    <w:p>
      <w:pPr>
        <w:pStyle w:val="Normal"/>
        <w:numPr>
          <w:ilvl w:val="0"/>
          <w:numId w:val="27"/>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28"/>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29"/>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30"/>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r>
      <w:r>
        <w:br w:type="page"/>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r>
      <w:r>
        <w:br w:type="page"/>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r>
      <w:r>
        <w:br w:type="page"/>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Formula field that pulls dynamically from the linked Workshop’s Date/Time field. Read-only. Always reflects the current Workshop date, even if the Workshop record is updated after the Attendance record is created.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r>
      <w:r>
        <w:br w:type="page"/>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31"/>
        </w:numPr>
        <w:spacing w:before="0" w:after="60"/>
        <w:rPr/>
      </w:pPr>
      <w:r>
        <w:rPr/>
        <w:t>Notes and Comments — cross-record linked notes with one-level threaded discussion and internal-only visibility control.</w:t>
      </w:r>
    </w:p>
    <w:p>
      <w:pPr>
        <w:pStyle w:val="Normal"/>
        <w:numPr>
          <w:ilvl w:val="0"/>
          <w:numId w:val="32"/>
        </w:numPr>
        <w:spacing w:before="0" w:after="60"/>
        <w:rPr/>
      </w:pPr>
      <w:r>
        <w:rPr/>
        <w:t>Documents — cross-record linked documents supporting both file uploads and external URL references (e.g., Google Drive links), with internal-only visibility control.</w:t>
      </w:r>
    </w:p>
    <w:p>
      <w:pPr>
        <w:pStyle w:val="Normal"/>
        <w:numPr>
          <w:ilvl w:val="0"/>
          <w:numId w:val="33"/>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r>
      <w:r>
        <w:br w:type="page"/>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34"/>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35"/>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36"/>
        </w:numPr>
        <w:spacing w:before="0" w:after="60"/>
        <w:rPr/>
      </w:pPr>
      <w:r>
        <w:rPr/>
        <w:t>The Primary Contact flag on the Contact record identifies the main point of contact when multiple Contacts exist on a Company.</w:t>
      </w:r>
    </w:p>
    <w:p>
      <w:pPr>
        <w:pStyle w:val="Normal"/>
        <w:numPr>
          <w:ilvl w:val="0"/>
          <w:numId w:val="37"/>
        </w:numPr>
        <w:spacing w:before="0" w:after="60"/>
        <w:rPr/>
      </w:pPr>
      <w:r>
        <w:rPr/>
        <w:t>From the Company record, all linked Contacts are visible in a Contact relationship panel.</w:t>
      </w:r>
    </w:p>
    <w:p>
      <w:pPr>
        <w:pStyle w:val="Normal"/>
        <w:numPr>
          <w:ilvl w:val="0"/>
          <w:numId w:val="38"/>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39"/>
        </w:numPr>
        <w:spacing w:before="0" w:after="60"/>
        <w:rPr/>
      </w:pPr>
      <w:r>
        <w:rPr/>
        <w:t>The first Engagement is created automatically when a Mentoring Request form is submitted, with status set to Submitted.</w:t>
      </w:r>
    </w:p>
    <w:p>
      <w:pPr>
        <w:pStyle w:val="Normal"/>
        <w:numPr>
          <w:ilvl w:val="0"/>
          <w:numId w:val="40"/>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41"/>
        </w:numPr>
        <w:spacing w:before="0" w:after="60"/>
        <w:rPr/>
      </w:pPr>
      <w:r>
        <w:rPr/>
        <w:t>Only one Engagement per Company should be in an active status (Submitted, Assigned, Active, or On-Hold) at any given time.</w:t>
      </w:r>
    </w:p>
    <w:p>
      <w:pPr>
        <w:pStyle w:val="Normal"/>
        <w:numPr>
          <w:ilvl w:val="0"/>
          <w:numId w:val="42"/>
        </w:numPr>
        <w:spacing w:before="0" w:after="60"/>
        <w:rPr/>
      </w:pPr>
      <w:r>
        <w:rPr/>
        <w:t>From the Company record, all linked Engagements are visible in an Engagement relationship panel, showing current and historical engagements.</w:t>
      </w:r>
    </w:p>
    <w:p>
      <w:pPr>
        <w:pStyle w:val="Normal"/>
        <w:numPr>
          <w:ilvl w:val="0"/>
          <w:numId w:val="43"/>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44"/>
        </w:numPr>
        <w:spacing w:before="0" w:after="60"/>
        <w:rPr/>
      </w:pPr>
      <w:r>
        <w:rPr/>
        <w:t>The Assigned Mentor link is set by an admin when the Engagement moves from Submitted to Assigned status.</w:t>
      </w:r>
    </w:p>
    <w:p>
      <w:pPr>
        <w:pStyle w:val="Normal"/>
        <w:numPr>
          <w:ilvl w:val="0"/>
          <w:numId w:val="45"/>
        </w:numPr>
        <w:spacing w:before="0" w:after="60"/>
        <w:rPr/>
      </w:pPr>
      <w:r>
        <w:rPr/>
        <w:t>The Co-Mentor and SME links are optional and may be set at any time during an active engagement.</w:t>
      </w:r>
    </w:p>
    <w:p>
      <w:pPr>
        <w:pStyle w:val="Normal"/>
        <w:numPr>
          <w:ilvl w:val="0"/>
          <w:numId w:val="46"/>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47"/>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48"/>
        </w:numPr>
        <w:spacing w:before="0" w:after="60"/>
        <w:rPr/>
      </w:pPr>
      <w:r>
        <w:rPr/>
        <w:t>Session records are created manually by the assigned mentor after each meeting.</w:t>
      </w:r>
    </w:p>
    <w:p>
      <w:pPr>
        <w:pStyle w:val="Normal"/>
        <w:numPr>
          <w:ilvl w:val="0"/>
          <w:numId w:val="49"/>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50"/>
        </w:numPr>
        <w:spacing w:before="0" w:after="60"/>
        <w:rPr/>
      </w:pPr>
      <w:r>
        <w:rPr/>
        <w:t>Sessions also drive NPS survey trigger logic — the system monitors session count per Engagement to determine when to send surveys.</w:t>
      </w:r>
    </w:p>
    <w:p>
      <w:pPr>
        <w:pStyle w:val="Normal"/>
        <w:numPr>
          <w:ilvl w:val="0"/>
          <w:numId w:val="51"/>
        </w:numPr>
        <w:spacing w:before="0" w:after="60"/>
        <w:rPr/>
      </w:pPr>
      <w:r>
        <w:rPr/>
        <w:t>From the Engagement record, all linked Sessions are visible in a Session relationship panel sorted by date descending.</w:t>
      </w:r>
    </w:p>
    <w:p>
      <w:pPr>
        <w:pStyle w:val="Normal"/>
        <w:numPr>
          <w:ilvl w:val="0"/>
          <w:numId w:val="52"/>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53"/>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54"/>
        </w:numPr>
        <w:spacing w:before="0" w:after="60"/>
        <w:rPr/>
      </w:pPr>
      <w:r>
        <w:rPr/>
        <w:t>Each NPS Survey Response is linked to both the Engagement and, where applicable, the Session that triggered it.</w:t>
      </w:r>
    </w:p>
    <w:p>
      <w:pPr>
        <w:pStyle w:val="Normal"/>
        <w:numPr>
          <w:ilvl w:val="0"/>
          <w:numId w:val="55"/>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56"/>
        </w:numPr>
        <w:spacing w:before="0" w:after="60"/>
        <w:rPr/>
      </w:pPr>
      <w:r>
        <w:rPr/>
        <w:t>Workshop Attendance records are created when a client registers for or attends a workshop.</w:t>
      </w:r>
    </w:p>
    <w:p>
      <w:pPr>
        <w:pStyle w:val="Normal"/>
        <w:numPr>
          <w:ilvl w:val="0"/>
          <w:numId w:val="57"/>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58"/>
        </w:numPr>
        <w:spacing w:before="0" w:after="60"/>
        <w:rPr/>
      </w:pPr>
      <w:r>
        <w:rPr/>
        <w:t>From the Contact record, all workshop attendance history is visible in a Workshop Attendance relationship panel.</w:t>
      </w:r>
    </w:p>
    <w:p>
      <w:pPr>
        <w:pStyle w:val="Normal"/>
        <w:numPr>
          <w:ilvl w:val="0"/>
          <w:numId w:val="59"/>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60"/>
        </w:numPr>
        <w:spacing w:before="0" w:after="60"/>
        <w:rPr/>
      </w:pPr>
      <w:r>
        <w:rPr/>
        <w:t>The Workshop Attendance entity is the linking record between a client Contact and a Workshop. It is not a direct relationship between Contact and Workshop.</w:t>
      </w:r>
    </w:p>
    <w:p>
      <w:pPr>
        <w:pStyle w:val="Normal"/>
        <w:numPr>
          <w:ilvl w:val="0"/>
          <w:numId w:val="61"/>
        </w:numPr>
        <w:spacing w:before="0" w:after="60"/>
        <w:rPr/>
      </w:pPr>
      <w:r>
        <w:rPr/>
        <w:t>From the Workshop record, all linked Workshop Attendance records are visible, providing a full attendee list for each event.</w:t>
      </w:r>
    </w:p>
    <w:p>
      <w:pPr>
        <w:pStyle w:val="Normal"/>
        <w:numPr>
          <w:ilvl w:val="0"/>
          <w:numId w:val="62"/>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w:t>
      </w:r>
      <w:r>
        <w:rPr/>
        <w:t>8</w:t>
      </w:r>
      <w:r>
        <w:rPr/>
        <w:t xml:space="preserve">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63"/>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64"/>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65"/>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66"/>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67"/>
        </w:numPr>
        <w:spacing w:before="0" w:after="60"/>
        <w:rPr/>
      </w:pPr>
      <w:r>
        <w:rPr/>
        <w:t>Comment → Note: Many-to-One. Comments are always children of a single parent Note.</w:t>
      </w:r>
    </w:p>
    <w:p>
      <w:pPr>
        <w:pStyle w:val="Normal"/>
        <w:numPr>
          <w:ilvl w:val="0"/>
          <w:numId w:val="68"/>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69"/>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r>
      <w:r>
        <w:br w:type="page"/>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70"/>
        </w:numPr>
        <w:spacing w:before="0" w:after="60"/>
        <w:rPr/>
      </w:pPr>
      <w:r>
        <w:rPr/>
        <w:t>Client completes and submits the Phase 1 Mentoring Request form on the CBM website.</w:t>
      </w:r>
    </w:p>
    <w:p>
      <w:pPr>
        <w:pStyle w:val="Normal"/>
        <w:numPr>
          <w:ilvl w:val="0"/>
          <w:numId w:val="71"/>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7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73"/>
        </w:numPr>
        <w:spacing w:before="0" w:after="60"/>
        <w:rPr/>
      </w:pPr>
      <w:r>
        <w:rPr/>
        <w:t>Admin reviews the submission for completeness and basic eligibility. Admin determines whether the request is suitable for the program.</w:t>
      </w:r>
    </w:p>
    <w:p>
      <w:pPr>
        <w:pStyle w:val="Normal"/>
        <w:numPr>
          <w:ilvl w:val="0"/>
          <w:numId w:val="74"/>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3"/>
        <w:rPr/>
      </w:pPr>
      <w:r>
        <w:rPr/>
        <w:t>4.1.1 Phase 1 Mentoring Request Form Fields</w:t>
      </w:r>
    </w:p>
    <w:p>
      <w:pPr>
        <w:pStyle w:val="Normal"/>
        <w:spacing w:before="0" w:after="120"/>
        <w:rPr/>
      </w:pPr>
      <w:r>
        <w:rPr/>
        <w:t>The following fields are collected on the public Mentoring Request form on the CBM website. The form is built in WordPress and posts data to the CRM via the REST API, which automatically creates the Company, Contact, and Engagement records. The Populates column identifies which CRM entity each field is stored 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400"/>
        <w:gridCol w:w="5761"/>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Text field.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Email field. Primary email used for all follow-up communications.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Phone field.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 Used for geographic reporting.</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May be left blank for pre-startup applicants.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Website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URL field.</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Address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Address field (street, city, state, zip).</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Organization Type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Values: For-Profit | Non-Profit.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Stage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Pre-Startup | Startup | Early Stage | Growth Stage | Established.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of 20 NAICS sectors.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Subsector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of ~100 NAICS subsectors, filtered by selected Sector. Stored as a separate field from NAICS Sector.</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Focus Areas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to be defined by CBM leadership. Used for mentor matching and funder reporting.</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Needs Description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Rich text. Free-form description of what the client is seeking from the mentoring engagement.</w:t>
            </w:r>
          </w:p>
        </w:tc>
      </w:tr>
    </w:tbl>
    <w:p>
      <w:pPr>
        <w:pStyle w:val="Normal"/>
        <w:rPr/>
      </w:pPr>
      <w:r>
        <w:rPr/>
      </w:r>
    </w:p>
    <w:p>
      <w:pPr>
        <w:pStyle w:val="Heading3"/>
        <w:rPr/>
      </w:pPr>
      <w:r>
        <w:rPr/>
        <w:t>4.1.2 Phase 2 Client Registration Form Fields</w:t>
      </w:r>
    </w:p>
    <w:p>
      <w:pPr>
        <w:pStyle w:val="Normal"/>
        <w:spacing w:before="0" w:after="120"/>
        <w:rPr/>
      </w:pPr>
      <w:r>
        <w:rPr/>
        <w:t>The following fields are collected via a second form deployed by the mentor at their discretion after assignment. The mentor may send the Phase 2 form link in their initial introduction to the client or after the first session. All fields are optional. All free-text fields support rich text formatting. The EIN Number field is not collected on this form — it is entered directly in the CRM by the mentor if needed.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400"/>
        <w:gridCol w:w="5761"/>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Detailed description of what the business does, its history, and founding story.</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or date field. How long the business has been operating.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field. Number of current employees or team members.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with ranges (TBD). Approximate annual revenue range.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Description of current funding sources or needs.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Primary obstacles the business is currently facing.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What the client wants to achieve through the mentoring engagement.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Specific outcomes the client hopes to achieve in the near term.</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 / Advisory Experience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Whether the client has worked with a mentor or advisor before, and any relevant context.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Values: Banker / Financial Institution | Attorney / Legal Counsel | Accountant / CPA | IT Consultant | Insurance Agent | Marketing / PR Consultant | Business Coach.</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Yes/No. Whether the business has filed with the state as an official legal entity.</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of US states.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obtained an Employer Identification Number.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field. Date the business entity was formally established. Shown when Registered with State = Yes.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a designated registered agent. Shown when Registered with State = Yes.</w:t>
            </w:r>
          </w:p>
        </w:tc>
      </w:tr>
    </w:tbl>
    <w:p>
      <w:pPr>
        <w:pStyle w:val="Normal"/>
        <w:rPr/>
      </w:pPr>
      <w:r>
        <w:rPr/>
      </w:r>
    </w:p>
    <w:p>
      <w:pPr>
        <w:pStyle w:val="Normal"/>
        <w:rPr/>
      </w:pPr>
      <w:r>
        <w:rPr/>
      </w:r>
    </w:p>
    <w:p>
      <w:pPr>
        <w:pStyle w:val="Normal"/>
        <w:rPr/>
      </w:pPr>
      <w:r>
        <w:rPr/>
      </w:r>
    </w:p>
    <w:p>
      <w:pPr>
        <w:pStyle w:val="Heading2"/>
        <w:rPr/>
      </w:pPr>
      <w:r>
        <w:rPr/>
      </w:r>
    </w:p>
    <w:p>
      <w:pPr>
        <w:pStyle w:val="Heading3"/>
        <w:rPr/>
      </w:pPr>
      <w:r>
        <w:rPr/>
        <w:t>4.1.</w:t>
      </w:r>
      <w:r>
        <w:rPr/>
        <w:t>3</w:t>
      </w:r>
      <w:r>
        <w:rPr/>
        <w:t xml:space="preserve"> Client </w:t>
      </w:r>
      <w:r>
        <w:rPr/>
        <w:t>Intake Process Diagram</w:t>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62083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6208395"/>
                    </a:xfrm>
                    <a:prstGeom prst="rect">
                      <a:avLst/>
                    </a:prstGeom>
                  </pic:spPr>
                </pic:pic>
              </a:graphicData>
            </a:graphic>
          </wp:anchor>
        </w:drawing>
      </w:r>
      <w:r>
        <w:br w:type="page"/>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75"/>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76"/>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77"/>
        </w:numPr>
        <w:spacing w:before="0" w:after="60"/>
        <w:rPr/>
      </w:pPr>
      <w:r>
        <w:rPr/>
        <w:t>The Engagement status is changes to Pending Acceptance.</w:t>
      </w:r>
    </w:p>
    <w:p>
      <w:pPr>
        <w:pStyle w:val="Normal"/>
        <w:numPr>
          <w:ilvl w:val="0"/>
          <w:numId w:val="78"/>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79"/>
        </w:numPr>
        <w:spacing w:before="0" w:after="60"/>
        <w:rPr/>
      </w:pPr>
      <w:r>
        <w:rPr/>
        <w:t>If the mentor accepts: Engagement status changes to Assigned. Admin is notified. Proceed to Step 6.</w:t>
      </w:r>
    </w:p>
    <w:p>
      <w:pPr>
        <w:pStyle w:val="Normal"/>
        <w:numPr>
          <w:ilvl w:val="0"/>
          <w:numId w:val="80"/>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81"/>
        </w:numPr>
        <w:spacing w:before="0" w:after="60"/>
        <w:rPr/>
      </w:pPr>
      <w:r>
        <w:rPr/>
        <w:t>If no response within the acceptance window: Admin is alerted to follow up or nominate a different mentor. Engagement remains in Pending Acceptance.</w:t>
      </w:r>
    </w:p>
    <w:p>
      <w:pPr>
        <w:pStyle w:val="Normal"/>
        <w:numPr>
          <w:ilvl w:val="0"/>
          <w:numId w:val="82"/>
        </w:numPr>
        <w:spacing w:before="0" w:after="60"/>
        <w:rPr/>
      </w:pPr>
      <w:r>
        <w:rPr/>
        <w:t>Assigned Mentor accesses the Engagement record and sets the Meeting Cadence field on the Engagement record.</w:t>
      </w:r>
    </w:p>
    <w:p>
      <w:pPr>
        <w:pStyle w:val="Normal"/>
        <w:numPr>
          <w:ilvl w:val="0"/>
          <w:numId w:val="83"/>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84"/>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85"/>
        </w:numPr>
        <w:spacing w:before="0" w:after="60"/>
        <w:rPr/>
      </w:pPr>
      <w:r>
        <w:rPr/>
        <w:t>Once the first session is logged, the Engagement status changes to Active.</w:t>
      </w:r>
    </w:p>
    <w:p>
      <w:pPr>
        <w:pStyle w:val="Normal"/>
        <w:rPr/>
      </w:pPr>
      <w:r>
        <w:rPr/>
      </w:r>
      <w:r>
        <w:br w:type="page"/>
      </w:r>
    </w:p>
    <w:p>
      <w:pPr>
        <w:pStyle w:val="Heading2"/>
        <w:rPr/>
      </w:pPr>
      <w:r>
        <w:rPr/>
        <w:t>4.2.</w:t>
      </w:r>
      <w:r>
        <w:rPr/>
        <w:t xml:space="preserve">1 </w:t>
      </w:r>
      <w:r>
        <w:rPr/>
        <w:t xml:space="preserve"> Mentor Assignment </w:t>
      </w:r>
      <w:r>
        <w:rPr/>
        <w:t>Process Diagram</w:t>
      </w:r>
    </w:p>
    <w:p>
      <w:pPr>
        <w:pStyle w:val="Heading2"/>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240" cy="864171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76240" cy="8641715"/>
                    </a:xfrm>
                    <a:prstGeom prst="rect">
                      <a:avLst/>
                    </a:prstGeom>
                  </pic:spPr>
                </pic:pic>
              </a:graphicData>
            </a:graphic>
          </wp:anchor>
        </w:drawing>
      </w:r>
      <w:r>
        <w:br w:type="page"/>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86"/>
        </w:numPr>
        <w:spacing w:before="0" w:after="60"/>
        <w:rPr/>
      </w:pPr>
      <w:r>
        <w:rPr/>
        <w:t>Mentor, co-mentor, or SME navigates to the Engagement record in CRM and creates a new Session record, or edits a previously scheduled Session Record.</w:t>
      </w:r>
    </w:p>
    <w:p>
      <w:pPr>
        <w:pStyle w:val="Normal"/>
        <w:numPr>
          <w:ilvl w:val="0"/>
          <w:numId w:val="87"/>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88"/>
        </w:numPr>
        <w:spacing w:before="0" w:after="60"/>
        <w:rPr/>
      </w:pPr>
      <w:r>
        <w:rPr/>
        <w:t>Session record is saved and linked to the Engagement.</w:t>
      </w:r>
    </w:p>
    <w:p>
      <w:pPr>
        <w:pStyle w:val="Normal"/>
        <w:numPr>
          <w:ilvl w:val="0"/>
          <w:numId w:val="89"/>
        </w:numPr>
        <w:spacing w:before="0" w:after="60"/>
        <w:rPr/>
      </w:pPr>
      <w:r>
        <w:rPr/>
        <w:t>Engagement roll-up fields update automatically: Total Sessions, Total Sessions (Last 30 Days), Last Session Date, and Total Session Hours are recalculated.</w:t>
      </w:r>
    </w:p>
    <w:p>
      <w:pPr>
        <w:pStyle w:val="Normal"/>
        <w:numPr>
          <w:ilvl w:val="0"/>
          <w:numId w:val="90"/>
        </w:numPr>
        <w:spacing w:before="0" w:after="60"/>
        <w:rPr/>
      </w:pPr>
      <w:r>
        <w:rPr/>
        <w:t>Inactivity monitoring clock resets — the new session date is recognized as the most recent activity event.</w:t>
      </w:r>
    </w:p>
    <w:p>
      <w:pPr>
        <w:pStyle w:val="Normal"/>
        <w:numPr>
          <w:ilvl w:val="0"/>
          <w:numId w:val="91"/>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92"/>
        </w:numPr>
        <w:spacing w:before="0" w:after="60"/>
        <w:rPr/>
      </w:pPr>
      <w:r>
        <w:rPr/>
        <w:t>System checks session count against NPS survey trigger thresholds (see Section 4.4).</w:t>
      </w:r>
    </w:p>
    <w:p>
      <w:pPr>
        <w:pStyle w:val="Normal"/>
        <w:numPr>
          <w:ilvl w:val="0"/>
          <w:numId w:val="93"/>
        </w:numPr>
        <w:spacing w:before="0" w:after="60"/>
        <w:rPr/>
      </w:pPr>
      <w:r>
        <w:rPr/>
        <w:t>If this is the first session logged on an Assigned Engagement, Engagement status automatically changes to Active.</w:t>
      </w:r>
    </w:p>
    <w:p>
      <w:pPr>
        <w:pStyle w:val="Normal"/>
        <w:rPr/>
      </w:pPr>
      <w:r>
        <w:rPr/>
      </w:r>
      <w:r>
        <w:br w:type="page"/>
      </w:r>
    </w:p>
    <w:p>
      <w:pPr>
        <w:pStyle w:val="Heading2"/>
        <w:rPr/>
      </w:pPr>
      <w:r>
        <w:rPr/>
        <w:t>4.3.</w:t>
      </w:r>
      <w:r>
        <w:rPr/>
        <w:t>1</w:t>
      </w:r>
      <w:r>
        <w:rPr/>
        <w:t xml:space="preserve"> Session Logging </w:t>
      </w:r>
      <w:r>
        <w:rPr/>
        <w:t>Process Diagram</w:t>
      </w:r>
    </w:p>
    <w:p>
      <w:pPr>
        <w:pStyle w:val="Heading2"/>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30850" cy="743902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530850" cy="7439025"/>
                    </a:xfrm>
                    <a:prstGeom prst="rect">
                      <a:avLst/>
                    </a:prstGeom>
                  </pic:spPr>
                </pic:pic>
              </a:graphicData>
            </a:graphic>
          </wp:anchor>
        </w:drawing>
      </w:r>
    </w:p>
    <w:p>
      <w:pPr>
        <w:pStyle w:val="Heading2"/>
        <w:rPr/>
      </w:pPr>
      <w:r>
        <w:rPr/>
      </w:r>
      <w:r>
        <w:br w:type="page"/>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94"/>
        </w:numPr>
        <w:spacing w:before="0" w:after="60"/>
        <w:rPr/>
      </w:pPr>
      <w:r>
        <w:rPr/>
        <w:t>After the 2nd session — first NPS survey triggered. Sufficient sessions to form a meaningful impression of the mentoring relationship.</w:t>
      </w:r>
    </w:p>
    <w:p>
      <w:pPr>
        <w:pStyle w:val="Normal"/>
        <w:numPr>
          <w:ilvl w:val="0"/>
          <w:numId w:val="95"/>
        </w:numPr>
        <w:spacing w:before="0" w:after="60"/>
        <w:rPr/>
      </w:pPr>
      <w:r>
        <w:rPr/>
        <w:t>Every 5 sessions thereafter — recurring pulse check (sessions 7, 12, 17, etc.).</w:t>
      </w:r>
    </w:p>
    <w:p>
      <w:pPr>
        <w:pStyle w:val="Normal"/>
        <w:numPr>
          <w:ilvl w:val="0"/>
          <w:numId w:val="96"/>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97"/>
        </w:numPr>
        <w:spacing w:before="0" w:after="60"/>
        <w:rPr/>
      </w:pPr>
      <w:r>
        <w:rPr/>
        <w:t>CRM workflow detects trigger condition (session count threshold or engagement close).</w:t>
      </w:r>
    </w:p>
    <w:p>
      <w:pPr>
        <w:pStyle w:val="Normal"/>
        <w:numPr>
          <w:ilvl w:val="0"/>
          <w:numId w:val="98"/>
        </w:numPr>
        <w:spacing w:before="0" w:after="60"/>
        <w:rPr/>
      </w:pPr>
      <w:r>
        <w:rPr/>
        <w:t>CRM calls LimeSurvey API to generate a personalized survey link for the client.</w:t>
      </w:r>
    </w:p>
    <w:p>
      <w:pPr>
        <w:pStyle w:val="Normal"/>
        <w:numPr>
          <w:ilvl w:val="0"/>
          <w:numId w:val="99"/>
        </w:numPr>
        <w:spacing w:before="0" w:after="60"/>
        <w:rPr/>
      </w:pPr>
      <w:r>
        <w:rPr/>
        <w:t>LimeSurvey sends the survey email to the client’s primary email address. No client login is required.</w:t>
      </w:r>
    </w:p>
    <w:p>
      <w:pPr>
        <w:pStyle w:val="Normal"/>
        <w:numPr>
          <w:ilvl w:val="0"/>
          <w:numId w:val="100"/>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101"/>
        </w:numPr>
        <w:spacing w:before="0" w:after="60"/>
        <w:rPr/>
      </w:pPr>
      <w:r>
        <w:rPr/>
        <w:t>LimeSurvey posts completed response to CRM via API.</w:t>
      </w:r>
    </w:p>
    <w:p>
      <w:pPr>
        <w:pStyle w:val="Normal"/>
        <w:numPr>
          <w:ilvl w:val="0"/>
          <w:numId w:val="102"/>
        </w:numPr>
        <w:spacing w:before="0" w:after="60"/>
        <w:rPr/>
      </w:pPr>
      <w:r>
        <w:rPr/>
        <w:t>CRM creates an NPS Survey Response record linked to the Engagement and, where applicable, the triggering Session record.</w:t>
      </w:r>
    </w:p>
    <w:p>
      <w:pPr>
        <w:pStyle w:val="Normal"/>
        <w:numPr>
          <w:ilvl w:val="0"/>
          <w:numId w:val="103"/>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r>
        <w:br w:type="page"/>
      </w:r>
    </w:p>
    <w:p>
      <w:pPr>
        <w:pStyle w:val="Heading2"/>
        <w:rPr/>
      </w:pPr>
      <w:r>
        <w:rPr/>
        <w:t>4.4.</w:t>
      </w:r>
      <w:r>
        <w:rPr/>
        <w:t>1</w:t>
      </w:r>
      <w:r>
        <w:rPr/>
        <w:t xml:space="preserve"> NPS Survey Triggers </w:t>
      </w:r>
      <w:r>
        <w:rPr/>
        <w:t>Process Diagram</w:t>
      </w:r>
    </w:p>
    <w:p>
      <w:pPr>
        <w:pStyle w:val="Heading2"/>
        <w:rPr/>
      </w:pPr>
      <w:r>
        <w:rPr/>
      </w:r>
    </w:p>
    <w:p>
      <w:pPr>
        <w:pStyle w:val="Heading2"/>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593715" cy="697484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593715" cy="6974840"/>
                    </a:xfrm>
                    <a:prstGeom prst="rect">
                      <a:avLst/>
                    </a:prstGeom>
                  </pic:spPr>
                </pic:pic>
              </a:graphicData>
            </a:graphic>
          </wp:anchor>
        </w:drawing>
      </w:r>
      <w:r>
        <w:br w:type="page"/>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04"/>
        </w:numPr>
        <w:spacing w:before="0" w:after="60"/>
        <w:rPr/>
      </w:pPr>
      <w:r>
        <w:rPr/>
        <w:t>A Session record logged against the Engagement.</w:t>
      </w:r>
    </w:p>
    <w:p>
      <w:pPr>
        <w:pStyle w:val="Normal"/>
        <w:numPr>
          <w:ilvl w:val="0"/>
          <w:numId w:val="105"/>
        </w:numPr>
        <w:spacing w:before="0" w:after="60"/>
        <w:rPr/>
      </w:pPr>
      <w:r>
        <w:rPr/>
        <w:t>An email sent or received linked to the Engagement.</w:t>
      </w:r>
    </w:p>
    <w:p>
      <w:pPr>
        <w:pStyle w:val="Normal"/>
        <w:numPr>
          <w:ilvl w:val="0"/>
          <w:numId w:val="106"/>
        </w:numPr>
        <w:spacing w:before="0" w:after="60"/>
        <w:rPr/>
      </w:pPr>
      <w:r>
        <w:rPr/>
        <w:t>A call logged against the Engagement.</w:t>
      </w:r>
    </w:p>
    <w:p>
      <w:pPr>
        <w:pStyle w:val="Normal"/>
        <w:numPr>
          <w:ilvl w:val="0"/>
          <w:numId w:val="107"/>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08"/>
        </w:numPr>
        <w:spacing w:before="0" w:after="60"/>
        <w:rPr/>
      </w:pPr>
      <w:r>
        <w:rPr/>
        <w:t>Weekly cadence — Dormant after 14 days of no qualifying activity.</w:t>
      </w:r>
    </w:p>
    <w:p>
      <w:pPr>
        <w:pStyle w:val="Normal"/>
        <w:numPr>
          <w:ilvl w:val="0"/>
          <w:numId w:val="109"/>
        </w:numPr>
        <w:spacing w:before="0" w:after="60"/>
        <w:rPr/>
      </w:pPr>
      <w:r>
        <w:rPr/>
        <w:t>Bi-Weekly cadence — Dormant after 21 days of no qualifying activity.</w:t>
      </w:r>
    </w:p>
    <w:p>
      <w:pPr>
        <w:pStyle w:val="Normal"/>
        <w:numPr>
          <w:ilvl w:val="0"/>
          <w:numId w:val="110"/>
        </w:numPr>
        <w:spacing w:before="0" w:after="60"/>
        <w:rPr/>
      </w:pPr>
      <w:r>
        <w:rPr/>
        <w:t>Monthly cadence — Dormant after 45 days of no qualifying activity.</w:t>
      </w:r>
    </w:p>
    <w:p>
      <w:pPr>
        <w:pStyle w:val="Normal"/>
        <w:numPr>
          <w:ilvl w:val="0"/>
          <w:numId w:val="11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112"/>
        </w:numPr>
        <w:spacing w:before="0" w:after="60"/>
        <w:rPr/>
      </w:pPr>
      <w:r>
        <w:rPr/>
        <w:t>System monitors qualifying activity events daily against the cadence-aware threshold.</w:t>
      </w:r>
    </w:p>
    <w:p>
      <w:pPr>
        <w:pStyle w:val="Normal"/>
        <w:numPr>
          <w:ilvl w:val="0"/>
          <w:numId w:val="113"/>
        </w:numPr>
        <w:spacing w:before="0" w:after="60"/>
        <w:rPr/>
      </w:pPr>
      <w:r>
        <w:rPr/>
        <w:t>When threshold is exceeded: Engagement status changes from Active to Dormant. Admin receives an alert notification.</w:t>
      </w:r>
    </w:p>
    <w:p>
      <w:pPr>
        <w:pStyle w:val="Normal"/>
        <w:numPr>
          <w:ilvl w:val="0"/>
          <w:numId w:val="114"/>
        </w:numPr>
        <w:spacing w:before="0" w:after="60"/>
        <w:rPr/>
      </w:pPr>
      <w:r>
        <w:rPr/>
        <w:t>Admin reviews the Dormant engagement and follows up with the mentor as appropriate.</w:t>
      </w:r>
    </w:p>
    <w:p>
      <w:pPr>
        <w:pStyle w:val="Normal"/>
        <w:numPr>
          <w:ilvl w:val="0"/>
          <w:numId w:val="115"/>
        </w:numPr>
        <w:spacing w:before="0" w:after="60"/>
        <w:rPr/>
      </w:pPr>
      <w:r>
        <w:rPr/>
        <w:t>If activity resumes: Engagement status reverts to Active automatically.</w:t>
      </w:r>
    </w:p>
    <w:p>
      <w:pPr>
        <w:pStyle w:val="Normal"/>
        <w:numPr>
          <w:ilvl w:val="0"/>
          <w:numId w:val="116"/>
        </w:numPr>
        <w:spacing w:before="0" w:after="60"/>
        <w:rPr/>
      </w:pPr>
      <w:r>
        <w:rPr/>
        <w:t>If no activity for an additional 60 days after becoming Dormant: Engagement status changes to Inactive. Admin receives an alert notification.</w:t>
      </w:r>
    </w:p>
    <w:p>
      <w:pPr>
        <w:pStyle w:val="Normal"/>
        <w:numPr>
          <w:ilvl w:val="0"/>
          <w:numId w:val="117"/>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4.5.</w:t>
      </w:r>
      <w:r>
        <w:rPr/>
        <w:t>1</w:t>
      </w:r>
      <w:r>
        <w:rPr/>
        <w:t xml:space="preserve"> Inactivity Monitoring </w:t>
      </w:r>
      <w:r>
        <w:rPr/>
        <w:t>Process Diagram</w:t>
      </w:r>
    </w:p>
    <w:p>
      <w:pPr>
        <w:pStyle w:val="Heading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193030" cy="836612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193030" cy="8366125"/>
                    </a:xfrm>
                    <a:prstGeom prst="rect">
                      <a:avLst/>
                    </a:prstGeom>
                  </pic:spPr>
                </pic:pic>
              </a:graphicData>
            </a:graphic>
          </wp:anchor>
        </w:drawing>
      </w:r>
    </w:p>
    <w:p>
      <w:pPr>
        <w:pStyle w:val="Heading2"/>
        <w:rPr/>
      </w:pPr>
      <w:r>
        <w:rPr/>
      </w:r>
    </w:p>
    <w:p>
      <w:pPr>
        <w:pStyle w:val="Heading2"/>
        <w:rPr/>
      </w:pPr>
      <w:r>
        <w:rPr/>
      </w:r>
      <w:r>
        <w:br w:type="page"/>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18"/>
        </w:numPr>
        <w:spacing w:before="0" w:after="60"/>
        <w:rPr/>
      </w:pPr>
      <w:r>
        <w:rPr/>
        <w:t>Admin or mentor navigates to the Engagement record and changes status to Completed.</w:t>
      </w:r>
    </w:p>
    <w:p>
      <w:pPr>
        <w:pStyle w:val="Normal"/>
        <w:numPr>
          <w:ilvl w:val="0"/>
          <w:numId w:val="119"/>
        </w:numPr>
        <w:spacing w:before="0" w:after="60"/>
        <w:rPr/>
      </w:pPr>
      <w:r>
        <w:rPr/>
        <w:t>Close Reason is recorded: Goals Achieved | Client Withdrew | Other.</w:t>
      </w:r>
    </w:p>
    <w:p>
      <w:pPr>
        <w:pStyle w:val="Normal"/>
        <w:numPr>
          <w:ilvl w:val="0"/>
          <w:numId w:val="120"/>
        </w:numPr>
        <w:spacing w:before="0" w:after="60"/>
        <w:rPr/>
      </w:pPr>
      <w:r>
        <w:rPr/>
        <w:t>Close Date is system-populated with the current date.</w:t>
      </w:r>
    </w:p>
    <w:p>
      <w:pPr>
        <w:pStyle w:val="Normal"/>
        <w:numPr>
          <w:ilvl w:val="0"/>
          <w:numId w:val="121"/>
        </w:numPr>
        <w:spacing w:before="0" w:after="60"/>
        <w:rPr/>
      </w:pPr>
      <w:r>
        <w:rPr/>
        <w:t>Final NPS survey is triggered automatically via LimeSurvey (see Section 4.4).</w:t>
      </w:r>
    </w:p>
    <w:p>
      <w:pPr>
        <w:pStyle w:val="Normal"/>
        <w:numPr>
          <w:ilvl w:val="0"/>
          <w:numId w:val="12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23"/>
        </w:numPr>
        <w:spacing w:before="0" w:after="60"/>
        <w:rPr/>
      </w:pPr>
      <w:r>
        <w:rPr/>
        <w:t>System automatically changes Engagement status to Abandoned after the configured Inactive threshold is exceeded (default: 90 days).</w:t>
      </w:r>
    </w:p>
    <w:p>
      <w:pPr>
        <w:pStyle w:val="Normal"/>
        <w:numPr>
          <w:ilvl w:val="0"/>
          <w:numId w:val="124"/>
        </w:numPr>
        <w:spacing w:before="0" w:after="60"/>
        <w:rPr/>
      </w:pPr>
      <w:r>
        <w:rPr/>
        <w:t>Close Reason is set automatically to: Inactive / No Response.</w:t>
      </w:r>
    </w:p>
    <w:p>
      <w:pPr>
        <w:pStyle w:val="Normal"/>
        <w:numPr>
          <w:ilvl w:val="0"/>
          <w:numId w:val="125"/>
        </w:numPr>
        <w:spacing w:before="0" w:after="60"/>
        <w:rPr/>
      </w:pPr>
      <w:r>
        <w:rPr/>
        <w:t>Close Date is system-populated.</w:t>
      </w:r>
    </w:p>
    <w:p>
      <w:pPr>
        <w:pStyle w:val="Normal"/>
        <w:numPr>
          <w:ilvl w:val="0"/>
          <w:numId w:val="126"/>
        </w:numPr>
        <w:spacing w:before="0" w:after="60"/>
        <w:rPr/>
      </w:pPr>
      <w:r>
        <w:rPr/>
        <w:t>Final NPS survey is triggered automatically via LimeSurvey.</w:t>
      </w:r>
    </w:p>
    <w:p>
      <w:pPr>
        <w:pStyle w:val="Normal"/>
        <w:numPr>
          <w:ilvl w:val="0"/>
          <w:numId w:val="127"/>
        </w:numPr>
        <w:spacing w:before="0" w:after="60"/>
        <w:rPr/>
      </w:pPr>
      <w:r>
        <w:rPr/>
        <w:t>Admin receives a notification that the Engagement has been Abandoned.</w:t>
      </w:r>
    </w:p>
    <w:p>
      <w:pPr>
        <w:pStyle w:val="Normal"/>
        <w:numPr>
          <w:ilvl w:val="0"/>
          <w:numId w:val="128"/>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r>
      <w:r>
        <w:br w:type="page"/>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29"/>
        </w:numPr>
        <w:spacing w:before="0" w:after="60"/>
        <w:rPr/>
      </w:pPr>
      <w:r>
        <w:rPr/>
        <w:t>Company and Contact records are retained permanently and are never deleted, regardless of Engagement status.</w:t>
      </w:r>
    </w:p>
    <w:p>
      <w:pPr>
        <w:pStyle w:val="Normal"/>
        <w:numPr>
          <w:ilvl w:val="0"/>
          <w:numId w:val="130"/>
        </w:numPr>
        <w:spacing w:before="0" w:after="60"/>
        <w:rPr/>
      </w:pPr>
      <w:r>
        <w:rPr/>
        <w:t>Closed Engagements (Completed or Abandoned) are retained permanently as historical records and are never deleted or archived.</w:t>
      </w:r>
    </w:p>
    <w:p>
      <w:pPr>
        <w:pStyle w:val="Normal"/>
        <w:numPr>
          <w:ilvl w:val="0"/>
          <w:numId w:val="13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32"/>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r>
      <w:r>
        <w:br w:type="page"/>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33"/>
        </w:numPr>
        <w:spacing w:before="0" w:after="60"/>
        <w:rPr/>
      </w:pPr>
      <w:r>
        <w:rPr/>
        <w:t>Mentor or admin saves the Engagement record with a Next Session Date/Time value (new or updated).</w:t>
      </w:r>
    </w:p>
    <w:p>
      <w:pPr>
        <w:pStyle w:val="Normal"/>
        <w:numPr>
          <w:ilvl w:val="0"/>
          <w:numId w:val="134"/>
        </w:numPr>
        <w:spacing w:before="0" w:after="60"/>
        <w:rPr/>
      </w:pPr>
      <w:r>
        <w:rPr/>
        <w:t>System generates a calendar meeting request for the scheduled date and time.</w:t>
      </w:r>
    </w:p>
    <w:p>
      <w:pPr>
        <w:pStyle w:val="Normal"/>
        <w:numPr>
          <w:ilvl w:val="0"/>
          <w:numId w:val="135"/>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136"/>
        </w:numPr>
        <w:spacing w:before="0" w:after="60"/>
        <w:rPr/>
      </w:pPr>
      <w:r>
        <w:rPr/>
        <w:t>Saving a new Next Session Date/Time resets the inactivity monitoring clock, treating the scheduled meeting as a qualifying activity event.</w:t>
      </w:r>
      <w:r>
        <w:br w:type="page"/>
      </w:r>
    </w:p>
    <w:p>
      <w:pPr>
        <w:pStyle w:val="Heading2"/>
        <w:rPr/>
      </w:pPr>
      <w:r>
        <w:rPr/>
        <w:t>4.8.</w:t>
      </w:r>
      <w:r>
        <w:rPr/>
        <w:t>1</w:t>
      </w:r>
      <w:r>
        <w:rPr/>
        <w:t xml:space="preserve"> Meeting Request </w:t>
      </w:r>
      <w:r>
        <w:rPr/>
        <w:t>Process Diagram</w:t>
      </w:r>
    </w:p>
    <w:p>
      <w:pPr>
        <w:pStyle w:val="Normal"/>
        <w:spacing w:before="0" w:after="60"/>
        <w:rPr/>
      </w:pPr>
      <w:r>
        <w:rPr/>
      </w:r>
    </w:p>
    <w:p>
      <w:pPr>
        <w:pStyle w:val="Normal"/>
        <w:spacing w:before="0" w:after="60"/>
        <w:rPr/>
      </w:pPr>
      <w:r>
        <w:rPr/>
      </w:r>
    </w:p>
    <w:p>
      <w:pPr>
        <w:pStyle w:val="Normal"/>
        <w:spacing w:before="0" w:after="6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837940" cy="602869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7940" cy="6028690"/>
                    </a:xfrm>
                    <a:prstGeom prst="rect">
                      <a:avLst/>
                    </a:prstGeom>
                  </pic:spPr>
                </pic:pic>
              </a:graphicData>
            </a:graphic>
          </wp:anchor>
        </w:drawing>
      </w:r>
    </w:p>
    <w:p>
      <w:pPr>
        <w:pStyle w:val="Normal"/>
        <w:rPr/>
      </w:pPr>
      <w:r>
        <w:rPr/>
      </w:r>
    </w:p>
    <w:p>
      <w:pPr>
        <w:pStyle w:val="Heading2"/>
        <w:rPr/>
      </w:pPr>
      <w:r>
        <w:rPr/>
      </w:r>
      <w:r>
        <w:br w:type="page"/>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7"/>
        </w:numPr>
        <w:spacing w:before="0" w:after="60"/>
        <w:rPr/>
      </w:pPr>
      <w:r>
        <w:rPr/>
        <w:t>Mentor saves the Session record.</w:t>
      </w:r>
    </w:p>
    <w:p>
      <w:pPr>
        <w:pStyle w:val="Normal"/>
        <w:numPr>
          <w:ilvl w:val="0"/>
          <w:numId w:val="138"/>
        </w:numPr>
        <w:spacing w:before="0" w:after="60"/>
        <w:rPr/>
      </w:pPr>
      <w:r>
        <w:rPr/>
        <w:t>System generates a draft summary email populated from: Topics Covered, Next Steps, and Next Session Date/Time from the Session record.</w:t>
      </w:r>
    </w:p>
    <w:p>
      <w:pPr>
        <w:pStyle w:val="Normal"/>
        <w:numPr>
          <w:ilvl w:val="0"/>
          <w:numId w:val="139"/>
        </w:numPr>
        <w:spacing w:before="0" w:after="60"/>
        <w:rPr/>
      </w:pPr>
      <w:r>
        <w:rPr/>
        <w:t>Draft email is presented to the mentor for review and editing within CRM before sending.</w:t>
      </w:r>
    </w:p>
    <w:p>
      <w:pPr>
        <w:pStyle w:val="Normal"/>
        <w:numPr>
          <w:ilvl w:val="0"/>
          <w:numId w:val="140"/>
        </w:numPr>
        <w:spacing w:before="0" w:after="60"/>
        <w:rPr/>
      </w:pPr>
      <w:r>
        <w:rPr/>
        <w:t>Mentor approves and sends the email. Recipients are the Engagement Contacts panel (or Primary Contact if empty).</w:t>
      </w:r>
    </w:p>
    <w:p>
      <w:pPr>
        <w:pStyle w:val="Normal"/>
        <w:numPr>
          <w:ilvl w:val="0"/>
          <w:numId w:val="141"/>
        </w:numPr>
        <w:spacing w:before="0" w:after="60"/>
        <w:rPr/>
      </w:pPr>
      <w:r>
        <w:rPr/>
        <w:t>Sent email is automatically linked to the Engagement record and the relevant Contact records in the activity stream.</w:t>
      </w:r>
      <w:r>
        <w:br w:type="page"/>
      </w:r>
    </w:p>
    <w:p>
      <w:pPr>
        <w:pStyle w:val="Heading2"/>
        <w:rPr/>
      </w:pPr>
      <w:r>
        <w:rPr/>
        <w:t>4.9.</w:t>
      </w:r>
      <w:r>
        <w:rPr/>
        <w:t>1</w:t>
      </w:r>
      <w:r>
        <w:rPr/>
        <w:t xml:space="preserve"> Session Summary Email </w:t>
      </w:r>
      <w:r>
        <w:rPr/>
        <w:t>Process Diagram</w:t>
      </w:r>
    </w:p>
    <w:p>
      <w:pPr>
        <w:pStyle w:val="Normal"/>
        <w:rPr/>
      </w:pPr>
      <w:r>
        <w:rPr/>
      </w:r>
    </w:p>
    <w:p>
      <w:pPr>
        <w:pStyle w:val="Heading1"/>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818890" cy="563816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818890" cy="5638165"/>
                    </a:xfrm>
                    <a:prstGeom prst="rect">
                      <a:avLst/>
                    </a:prstGeom>
                  </pic:spPr>
                </pic:pic>
              </a:graphicData>
            </a:graphic>
          </wp:anchor>
        </w:drawing>
      </w:r>
      <w:r>
        <w:br w:type="page"/>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8"/>
        <w:gridCol w:w="902"/>
        <w:gridCol w:w="898"/>
        <w:gridCol w:w="902"/>
        <w:gridCol w:w="899"/>
        <w:gridCol w:w="3960"/>
      </w:tblGrid>
      <w:tr>
        <w:trPr>
          <w:tblHeader w:val="true"/>
        </w:trPr>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Workshop records. Can create and update Workshop Attendance records for own assigned clients.</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Workshop records. Can create and update Workshop Attendance records for own assigned clients.</w:t>
            </w:r>
          </w:p>
        </w:tc>
      </w:tr>
      <w:tr>
        <w:trPr/>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42"/>
        </w:numPr>
        <w:spacing w:before="0" w:after="60"/>
        <w:rPr/>
      </w:pPr>
      <w:r>
        <w:rPr/>
        <w:t>Admin — Full visibility across all records of all entity types. No restrictions.</w:t>
      </w:r>
    </w:p>
    <w:p>
      <w:pPr>
        <w:pStyle w:val="Normal"/>
        <w:numPr>
          <w:ilvl w:val="0"/>
          <w:numId w:val="143"/>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44"/>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45"/>
        </w:numPr>
        <w:spacing w:before="0" w:after="60"/>
        <w:rPr/>
      </w:pPr>
      <w:r>
        <w:rPr/>
        <w:t>SME — Sees only records associated with Engagements where they are assigned as SME. Same scoping as Co-Mentor.</w:t>
      </w:r>
    </w:p>
    <w:p>
      <w:pPr>
        <w:pStyle w:val="Normal"/>
        <w:numPr>
          <w:ilvl w:val="0"/>
          <w:numId w:val="146"/>
        </w:numPr>
        <w:spacing w:before="0" w:after="60"/>
        <w:rPr/>
      </w:pPr>
      <w:r>
        <w:rPr/>
        <w:t>Board Member — No visibility into individual client records of any type. Access is limited to aggregate reporting dashboards and summary metrics only.</w:t>
      </w:r>
    </w:p>
    <w:p>
      <w:pPr>
        <w:pStyle w:val="Normal"/>
        <w:numPr>
          <w:ilvl w:val="0"/>
          <w:numId w:val="147"/>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48"/>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Implementation steps for the client domain are documented in CBM-PRD-CRM-Implementation.docx. That document is the single authoritative implementation reference — steps in CBM-PRD-CRM-Implementation.docx supersede any implementation steps previously contained in this document.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w:t>
            </w:r>
            <w:r>
              <w:rPr>
                <w:rFonts w:eastAsia="Arial" w:cs="Arial"/>
                <w:sz w:val="20"/>
                <w:szCs w:val="20"/>
              </w:rPr>
              <w:t>6</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 xml:space="preserve">In Progress — </w:t>
            </w:r>
            <w:r>
              <w:rPr>
                <w:rFonts w:eastAsia="Arial" w:cs="Arial"/>
                <w:sz w:val="20"/>
                <w:szCs w:val="20"/>
              </w:rPr>
              <w:t>Added Process Diagrams</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21, 2026</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3"/>
    <w:lvlOverride w:ilvl="0">
      <w:startOverride w:val="1"/>
    </w:lvlOverride>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3"/>
  </w:num>
  <w:num w:numId="61">
    <w:abstractNumId w:val="3"/>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4"/>
    <w:lvlOverride w:ilvl="0">
      <w:startOverride w:val="1"/>
    </w:lvlOverride>
  </w:num>
  <w:num w:numId="71">
    <w:abstractNumId w:val="4"/>
  </w:num>
  <w:num w:numId="72">
    <w:abstractNumId w:val="4"/>
  </w:num>
  <w:num w:numId="73">
    <w:abstractNumId w:val="4"/>
  </w:num>
  <w:num w:numId="74">
    <w:abstractNumId w:val="4"/>
  </w:num>
  <w:num w:numId="75">
    <w:abstractNumId w:val="4"/>
    <w:lvlOverride w:ilvl="0">
      <w:startOverride w:val="1"/>
    </w:lvlOverride>
  </w:num>
  <w:num w:numId="76">
    <w:abstractNumId w:val="4"/>
  </w:num>
  <w:num w:numId="77">
    <w:abstractNumId w:val="4"/>
  </w:num>
  <w:num w:numId="78">
    <w:abstractNumId w:val="4"/>
  </w:num>
  <w:num w:numId="79">
    <w:abstractNumId w:val="4"/>
  </w:num>
  <w:num w:numId="80">
    <w:abstractNumId w:val="4"/>
  </w:num>
  <w:num w:numId="81">
    <w:abstractNumId w:val="4"/>
  </w:num>
  <w:num w:numId="82">
    <w:abstractNumId w:val="4"/>
  </w:num>
  <w:num w:numId="83">
    <w:abstractNumId w:val="4"/>
  </w:num>
  <w:num w:numId="84">
    <w:abstractNumId w:val="4"/>
  </w:num>
  <w:num w:numId="85">
    <w:abstractNumId w:val="4"/>
  </w:num>
  <w:num w:numId="86">
    <w:abstractNumId w:val="4"/>
    <w:lvlOverride w:ilvl="0">
      <w:startOverride w:val="1"/>
    </w:lvlOverride>
  </w:num>
  <w:num w:numId="87">
    <w:abstractNumId w:val="4"/>
  </w:num>
  <w:num w:numId="88">
    <w:abstractNumId w:val="4"/>
  </w:num>
  <w:num w:numId="89">
    <w:abstractNumId w:val="4"/>
  </w:num>
  <w:num w:numId="90">
    <w:abstractNumId w:val="4"/>
  </w:num>
  <w:num w:numId="91">
    <w:abstractNumId w:val="4"/>
  </w:num>
  <w:num w:numId="92">
    <w:abstractNumId w:val="4"/>
  </w:num>
  <w:num w:numId="93">
    <w:abstractNumId w:val="4"/>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4"/>
    <w:lvlOverride w:ilvl="0">
      <w:startOverride w:val="1"/>
    </w:lvlOverride>
  </w:num>
  <w:num w:numId="113">
    <w:abstractNumId w:val="4"/>
  </w:num>
  <w:num w:numId="114">
    <w:abstractNumId w:val="4"/>
  </w:num>
  <w:num w:numId="115">
    <w:abstractNumId w:val="4"/>
  </w:num>
  <w:num w:numId="116">
    <w:abstractNumId w:val="4"/>
  </w:num>
  <w:num w:numId="117">
    <w:abstractNumId w:val="4"/>
  </w:num>
  <w:num w:numId="118">
    <w:abstractNumId w:val="4"/>
    <w:lvlOverride w:ilvl="0">
      <w:startOverride w:val="1"/>
    </w:lvlOverride>
  </w:num>
  <w:num w:numId="119">
    <w:abstractNumId w:val="4"/>
  </w:num>
  <w:num w:numId="120">
    <w:abstractNumId w:val="4"/>
  </w:num>
  <w:num w:numId="121">
    <w:abstractNumId w:val="4"/>
  </w:num>
  <w:num w:numId="122">
    <w:abstractNumId w:val="4"/>
  </w:num>
  <w:num w:numId="123">
    <w:abstractNumId w:val="4"/>
    <w:lvlOverride w:ilvl="0">
      <w:startOverride w:val="1"/>
    </w:lvlOverride>
  </w:num>
  <w:num w:numId="124">
    <w:abstractNumId w:val="4"/>
  </w:num>
  <w:num w:numId="125">
    <w:abstractNumId w:val="4"/>
  </w:num>
  <w:num w:numId="126">
    <w:abstractNumId w:val="4"/>
  </w:num>
  <w:num w:numId="127">
    <w:abstractNumId w:val="4"/>
  </w:num>
  <w:num w:numId="128">
    <w:abstractNumId w:val="4"/>
  </w:num>
  <w:num w:numId="129">
    <w:abstractNumId w:val="3"/>
  </w:num>
  <w:num w:numId="130">
    <w:abstractNumId w:val="3"/>
  </w:num>
  <w:num w:numId="131">
    <w:abstractNumId w:val="3"/>
  </w:num>
  <w:num w:numId="132">
    <w:abstractNumId w:val="3"/>
  </w:num>
  <w:num w:numId="133">
    <w:abstractNumId w:val="4"/>
    <w:lvlOverride w:ilvl="0">
      <w:startOverride w:val="1"/>
    </w:lvlOverride>
  </w:num>
  <w:num w:numId="134">
    <w:abstractNumId w:val="4"/>
  </w:num>
  <w:num w:numId="135">
    <w:abstractNumId w:val="4"/>
  </w:num>
  <w:num w:numId="136">
    <w:abstractNumId w:val="4"/>
  </w:num>
  <w:num w:numId="137">
    <w:abstractNumId w:val="4"/>
    <w:lvlOverride w:ilvl="0">
      <w:startOverride w:val="1"/>
    </w:lvlOverride>
  </w:num>
  <w:num w:numId="138">
    <w:abstractNumId w:val="4"/>
  </w:num>
  <w:num w:numId="139">
    <w:abstractNumId w:val="4"/>
  </w:num>
  <w:num w:numId="140">
    <w:abstractNumId w:val="4"/>
  </w:num>
  <w:num w:numId="141">
    <w:abstractNumId w:val="4"/>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LibreOffice/24.2.7.2$Linux_X86_64 LibreOffice_project/420$Build-2</Application>
  <AppVersion>15.0000</AppVersion>
  <Pages>37</Pages>
  <Words>7434</Words>
  <Characters>42165</Characters>
  <CharactersWithSpaces>48774</CharactersWithSpaces>
  <Paragraphs>771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2026-03-21T14:20:39Z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