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1.5  |  In Progress  |  March 21,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All Company fields may be viewed and modified at any time by the assigned mentor or any administrator directly within the CRM. The forms through which these fields are initially populated are defined in Section 4.1.</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Normal"/>
        <w:spacing w:before="0" w:after="120"/>
        <w:rPr/>
      </w:pPr>
      <w:r>
        <w:rPr/>
        <w:t>The following fields capture additional business detail. They are typically empty for newly submitted clients and are completed at the mentor’s discretion after assignment. All free-text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to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Confirmed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linked Workshop Attendance records where Attended = Yes. Displayed on the Workshop detail view and list view to show actual attendance at a glance.</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Formula field that pulls dynamically from the linked Workshop’s Date/Time field. Read-only. Always reflects the current Workshop date, even if the Workshop record is updated after the Attendance record is created.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3"/>
        <w:rPr/>
      </w:pPr>
      <w:r>
        <w:rPr/>
        <w:t>4.1.1 Phase 1 Mentoring Request Form Fields</w:t>
      </w:r>
    </w:p>
    <w:p>
      <w:pPr>
        <w:pStyle w:val="Normal"/>
        <w:spacing w:before="0" w:after="120"/>
        <w:rPr/>
      </w:pPr>
      <w:r>
        <w:rPr/>
        <w:t>The following fields are collected on the public Mentoring Request form on the CBM website. The form is built in WordPress and posts data to the CRM via the REST API, which automatically creates the Company, Contact, and Engagement records. The Populates column identifies which CRM entity each field is stored 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200"/>
        <w:gridCol w:w="1400"/>
        <w:gridCol w:w="5760"/>
      </w:tblGrid>
      <w:tr>
        <w:trPr>
          <w:tblHeader w:val="true"/>
        </w:trPr>
        <w:tc>
          <w:tcPr>
            <w:tcW w:w="22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Text field.</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Email field. Primary email used for all follow-up communications.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Phone field.</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 Used for geographic reporting.</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May be left blank for pre-startup applicants.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Website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URL field.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Address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Address field (street, city, state, zip).</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Organization Type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Values: For-Profit | Non-Profit.</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Stage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Values: Pre-Startup | Startup | Early Stage | Growth Stage | Established.</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Sector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of 20 NAICS sectors.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Subsector</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of ~100 NAICS subsectors, filtered by selected Sector. Stored as a separate field from NAICS Sector.</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Focus Areas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Multi-select dropdown. Values to be defined by CBM leadership. Used for mentor matching and funder reporting.</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Needs Description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Rich text. Free-form description of what the client is seeking from the mentoring engagement.</w:t>
            </w:r>
          </w:p>
        </w:tc>
      </w:tr>
    </w:tbl>
    <w:p>
      <w:pPr>
        <w:pStyle w:val="Normal"/>
        <w:rPr/>
      </w:pPr>
      <w:r>
        <w:rPr/>
      </w:r>
    </w:p>
    <w:p>
      <w:pPr>
        <w:pStyle w:val="Heading3"/>
        <w:rPr/>
      </w:pPr>
      <w:r>
        <w:rPr/>
        <w:t>4.1.2 Phase 2 Client Registration Form Fields</w:t>
      </w:r>
    </w:p>
    <w:p>
      <w:pPr>
        <w:pStyle w:val="Normal"/>
        <w:spacing w:before="0" w:after="120"/>
        <w:rPr/>
      </w:pPr>
      <w:r>
        <w:rPr/>
        <w:t>The following fields are collected via a second form deployed by the mentor at their discretion after assignment. The mentor may send the Phase 2 form link in their initial introduction to the client or after the first session. All fields are optional. All free-text fields support rich text formatting. The EIN Number field is not collected on this form — it is entered directly in the CRM by the mentor if needed.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200"/>
        <w:gridCol w:w="1400"/>
        <w:gridCol w:w="5760"/>
      </w:tblGrid>
      <w:tr>
        <w:trPr>
          <w:tblHeader w:val="true"/>
        </w:trPr>
        <w:tc>
          <w:tcPr>
            <w:tcW w:w="22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Detailed description of what the business does, its history, and founding story.</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or date field. How long the business has been operating.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field. Number of current employees or team members.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with ranges (TBD). Approximate annual revenue range.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Description of current funding sources or needs.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Primary obstacles the business is currently facing.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What the client wants to achieve through the mentoring engagement.</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Specific outcomes the client hopes to achieve in the near term.</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 / Advisory Experience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Whether the client has worked with a mentor or advisor before, and any relevant context.</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Values: Banker / Financial Institution | Attorney / Legal Counsel | Accountant / CPA | IT Consultant | Insurance Agent | Marketing / PR Consultant | Business Coach.</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Yes/No. Whether the business has filed with the state as an official legal entity.</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of US states.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obtained an Employer Identification Number.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field. Date the business entity was formally established.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a designated registered agent. Shown when Registered with State = Yes.</w:t>
            </w:r>
          </w:p>
        </w:tc>
      </w:tr>
    </w:tbl>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to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Workshop records. Can create and update Workshop Attendance records for own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Workshop records. Can create and update Workshop Attendance records for own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Implementation steps for the client domain are documented in CBM-PRD-CRM-Implementation.docx. That document is the single authoritative implementation reference — steps in CBM-PRD-CRM-Implementation.docx supersede any implementation steps previously contained in this document.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1.5</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Section 6 replaced with deference to Implementation Guide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21,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