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and Understood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and Understood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Phase 2 fields (Business Description, Time in Operation, Current Team Size, Revenue Range, Funding Situation, Current Challenges, Goals and Objectives, Desired Outcomes, Previous Mentoring/Advisory Experience) as a separate tab on the Company detail view, labeled “Business Detail (Phase 2).”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grouped in a panel named “Activity Summary”: Total Sessions (count of linked Sessions), Total Sessions Last 30 Days (count of Sessions in last 30 days), Last Session Date (date of most recent Session), Total Session Hours (sum of Session Duration). All four fields are system-calculated and must be configured as read-only. The Activity Summary panel itself should be labeled as read-only / system-calculated so implementers do not expose these fields as editable.</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Summary (Company, Status, Start Date, Close Date, Engagement Close Reason), Mentor Assignment (Assigned Mentor, Meeting Cadence, Next Session Date/Time), Activity Summary (Total Sessions, Total Sessions Last 30 Days, Last Session Date, Total Session Hours — all read-only/system-calculated).</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numPr>
          <w:ilvl w:val="0"/>
          <w:numId w:val="1"/>
        </w:numPr>
        <w:spacing w:before="0" w:after="60"/>
        <w:rPr/>
      </w:pPr>
      <w:r>
        <w:rPr/>
        <w:t>☐ Add Workshop Attendance relationship panel to the Engagement detail view. This panel gives mentors visibility into which workshops their assigned clients have attended within the context of the engagement. Configure the List (Short) to display: Contact Name, Workshop Title, Attendance Date, Attended.</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and Understood My Needs field (integer, 1-5).</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