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val="false"/>
          <w:bCs w:val="false"/>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8"/>
          <w:szCs w:val="48"/>
        </w:rPr>
        <w:t xml:space="preserve">Entity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 Platform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EspoCRM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17:00</w:t>
            </w:r>
          </w:p>
        </w:tc>
      </w:tr>
    </w:tbl>
    <w:p>
      <w:pPr>
        <w:spacing w:after="120"/>
      </w:pPr>
      <w:r>
        <w:rPr>
          <w:rFonts w:ascii="Arial" w:cs="Arial" w:eastAsia="Arial" w:hAnsi="Arial"/>
          <w:b w:val="false"/>
          <w:bCs w:val="false"/>
          <w:i w:val="false"/>
          <w:iCs w:val="false"/>
          <w:sz w:val="22"/>
          <w:szCs w:val="22"/>
        </w:rPr>
        <w:t xml:space="preserv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Arial" w:cs="Arial" w:eastAsia="Arial" w:hAnsi="Arial"/>
          <w:b/>
          <w:bCs/>
          <w:i w:val="false"/>
          <w:iCs w:val="false"/>
          <w:color w:val="1F3864"/>
          <w:sz w:val="32"/>
          <w:szCs w:val="32"/>
        </w:rPr>
        <w:t xml:space="preserve">1. Overview</w:t>
      </w:r>
    </w:p>
    <w:p>
      <w:pPr>
        <w:spacing w:after="120"/>
      </w:pPr>
      <w:r>
        <w:rPr>
          <w:rFonts w:ascii="Arial" w:cs="Arial" w:eastAsia="Arial" w:hAnsi="Arial"/>
          <w:b w:val="false"/>
          <w:bCs w:val="false"/>
          <w:i w:val="false"/>
          <w:iCs w:val="false"/>
          <w:sz w:val="22"/>
          <w:szCs w:val="22"/>
        </w:rPr>
        <w:t xml:space="preserve">This document maps every business entity concept identified in the CBM Master PRD and completed domain documents to actual CRM entities on the EspoCRM platform. It establishes which entities are native (already exist on the platform) and which must be created as custom entities, how shared entities distinguish between types using discriminator fields, and which domains contribute fields to each entity.</w:t>
      </w:r>
    </w:p>
    <w:p>
      <w:pPr>
        <w:spacing w:after="120"/>
      </w:pPr>
      <w:r>
        <w:rPr>
          <w:rFonts w:ascii="Arial" w:cs="Arial" w:eastAsia="Arial" w:hAnsi="Arial"/>
          <w:b w:val="false"/>
          <w:bCs w:val="false"/>
          <w:i w:val="false"/>
          <w:iCs w:val="false"/>
          <w:sz w:val="22"/>
          <w:szCs w:val="22"/>
        </w:rPr>
        <w:t xml:space="preserve">The Entity Inventory is the bridge between business language (used in PRDs and process documents) and CRM implementation (used in YAML program files and Entity PRDs). Without this mapping, process documents treat concepts like Client Contact and Mentor Contact as separate entities when they actually map to the same CRM entity.</w:t>
      </w:r>
    </w:p>
    <w:p>
      <w:pPr>
        <w:spacing w:after="120"/>
      </w:pPr>
      <w:r>
        <w:rPr>
          <w:rFonts w:ascii="Arial" w:cs="Arial" w:eastAsia="Arial" w:hAnsi="Arial"/>
          <w:b/>
          <w:bCs/>
          <w:i w:val="false"/>
          <w:iCs w:val="false"/>
          <w:sz w:val="22"/>
          <w:szCs w:val="22"/>
        </w:rPr>
        <w:t xml:space="preserve">Target Platform: </w:t>
      </w:r>
      <w:r>
        <w:rPr>
          <w:rFonts w:ascii="Arial" w:cs="Arial" w:eastAsia="Arial" w:hAnsi="Arial"/>
          <w:b w:val="false"/>
          <w:bCs w:val="false"/>
          <w:i w:val="false"/>
          <w:iCs w:val="false"/>
          <w:sz w:val="22"/>
          <w:szCs w:val="22"/>
        </w:rPr>
        <w:t xml:space="preserve">EspoCRM</w:t>
      </w:r>
    </w:p>
    <w:p>
      <w:pPr>
        <w:spacing w:after="120"/>
      </w:pPr>
      <w:r>
        <w:rPr>
          <w:rFonts w:ascii="Arial" w:cs="Arial" w:eastAsia="Arial" w:hAnsi="Arial"/>
          <w:b/>
          <w:bCs/>
          <w:i w:val="false"/>
          <w:iCs w:val="false"/>
          <w:sz w:val="22"/>
          <w:szCs w:val="22"/>
        </w:rPr>
        <w:t xml:space="preserve">Total CRM Entities: </w:t>
      </w:r>
      <w:r>
        <w:rPr>
          <w:rFonts w:ascii="Arial" w:cs="Arial" w:eastAsia="Arial" w:hAnsi="Arial"/>
          <w:b w:val="false"/>
          <w:bCs w:val="false"/>
          <w:i w:val="false"/>
          <w:iCs w:val="false"/>
          <w:sz w:val="22"/>
          <w:szCs w:val="22"/>
        </w:rPr>
        <w:t xml:space="preserve">9 (2 native, 7 custom)</w:t>
      </w:r>
    </w:p>
    <w:p>
      <w:pPr>
        <w:spacing w:after="120"/>
      </w:pPr>
      <w:r>
        <w:rPr>
          <w:rFonts w:ascii="Arial" w:cs="Arial" w:eastAsia="Arial" w:hAnsi="Arial"/>
          <w:b/>
          <w:bCs/>
          <w:i w:val="false"/>
          <w:iCs w:val="false"/>
          <w:sz w:val="22"/>
          <w:szCs w:val="22"/>
        </w:rPr>
        <w:t xml:space="preserve">Total Business Entity Concepts: </w:t>
      </w:r>
      <w:r>
        <w:rPr>
          <w:rFonts w:ascii="Arial" w:cs="Arial" w:eastAsia="Arial" w:hAnsi="Arial"/>
          <w:b w:val="false"/>
          <w:bCs w:val="false"/>
          <w:i w:val="false"/>
          <w:iCs w:val="false"/>
          <w:sz w:val="22"/>
          <w:szCs w:val="22"/>
        </w:rPr>
        <w:t xml:space="preserve">21</w:t>
      </w:r>
    </w:p>
    <w:p>
      <w:pPr>
        <w:spacing w:after="120"/>
      </w:pPr>
      <w:r>
        <w:rPr>
          <w:rFonts w:ascii="Arial" w:cs="Arial" w:eastAsia="Arial" w:hAnsi="Arial"/>
          <w:b/>
          <w:bCs/>
          <w:i w:val="false"/>
          <w:iCs w:val="false"/>
          <w:sz w:val="22"/>
          <w:szCs w:val="22"/>
        </w:rPr>
        <w:t xml:space="preserve">Source Documents: </w:t>
      </w:r>
      <w:r>
        <w:rPr>
          <w:rFonts w:ascii="Arial" w:cs="Arial" w:eastAsia="Arial" w:hAnsi="Arial"/>
          <w:b w:val="false"/>
          <w:bCs w:val="false"/>
          <w:i w:val="false"/>
          <w:iCs w:val="false"/>
          <w:sz w:val="22"/>
          <w:szCs w:val="22"/>
        </w:rPr>
        <w:t xml:space="preserve">Master PRD; Mentoring Domain PRD v1.0 (MN-INTAKE v2.1, MN-MATCH v2.1, MN-ENGAGE v2.3, MN-INACTIVE v1.2, MN-CLOSE v1.1). Mentor Recruitment, Client Recruiting, and Fundraising domains are represented at summary level from the Master PRD only.</w:t>
      </w:r>
    </w:p>
    <w:p>
      <w:r>
        <w:br w:type="page"/>
      </w:r>
    </w:p>
    <w:p>
      <w:pPr>
        <w:pStyle w:val="Heading1"/>
        <w:spacing w:after="120" w:before="360"/>
      </w:pPr>
      <w:r>
        <w:rPr>
          <w:rFonts w:ascii="Arial" w:cs="Arial" w:eastAsia="Arial" w:hAnsi="Arial"/>
          <w:b/>
          <w:bCs/>
          <w:i w:val="false"/>
          <w:iCs w:val="false"/>
          <w:color w:val="1F3864"/>
          <w:sz w:val="32"/>
          <w:szCs w:val="32"/>
        </w:rPr>
        <w:t xml:space="preserve">2. Entity Map</w:t>
      </w:r>
    </w:p>
    <w:p>
      <w:pPr>
        <w:spacing w:after="120"/>
      </w:pPr>
      <w:r>
        <w:rPr>
          <w:rFonts w:ascii="Arial" w:cs="Arial" w:eastAsia="Arial" w:hAnsi="Arial"/>
          <w:b w:val="false"/>
          <w:bCs w:val="false"/>
          <w:i w:val="false"/>
          <w:iCs w:val="false"/>
          <w:sz w:val="22"/>
          <w:szCs w:val="22"/>
        </w:rPr>
        <w:t xml:space="preserve">The following table maps every business entity concept identified in the source documents to its CRM entity. For shared entities, the discriminator field and value that distinguish the concept are shown. For dedicated custom entities, the discriminator columns show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900"/>
        <w:gridCol w:w="1200"/>
        <w:gridCol w:w="1300"/>
        <w:gridCol w:w="2160"/>
      </w:tblGrid>
      <w:tr>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Entity Name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 Custom</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Discriminator</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 Value</w:t>
            </w:r>
          </w:p>
        </w:tc>
        <w:tc>
          <w:tcPr>
            <w:tcW w:type="dxa" w:w="2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All</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Organization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Event/Workshop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bl>
    <w:p>
      <w:r>
        <w:br w:type="page"/>
      </w:r>
    </w:p>
    <w:p>
      <w:pPr>
        <w:pStyle w:val="Heading1"/>
        <w:spacing w:after="120" w:before="360"/>
      </w:pPr>
      <w:r>
        <w:rPr>
          <w:rFonts w:ascii="Arial" w:cs="Arial" w:eastAsia="Arial" w:hAnsi="Arial"/>
          <w:b/>
          <w:bCs/>
          <w:i w:val="false"/>
          <w:iCs w:val="false"/>
          <w:color w:val="1F3864"/>
          <w:sz w:val="32"/>
          <w:szCs w:val="32"/>
        </w:rPr>
        <w:t xml:space="preserve">3. Shared Entity Summary</w:t>
      </w:r>
    </w:p>
    <w:p>
      <w:pPr>
        <w:spacing w:after="120"/>
      </w:pPr>
      <w:r>
        <w:rPr>
          <w:rFonts w:ascii="Arial" w:cs="Arial" w:eastAsia="Arial" w:hAnsi="Arial"/>
          <w:b w:val="false"/>
          <w:bCs w:val="false"/>
          <w:i w:val="false"/>
          <w:iCs w:val="false"/>
          <w:sz w:val="22"/>
          <w:szCs w:val="22"/>
        </w:rPr>
        <w:t xml:space="preserve">Shared entities are CRM entities that serve multiple business entity concepts, distinguished by a discriminator field. Each shared entity requires an Entity PRD that consolidates fields from all contributing domains.</w:t>
      </w:r>
    </w:p>
    <w:p>
      <w:pPr>
        <w:pStyle w:val="Heading2"/>
        <w:spacing w:after="120" w:before="240"/>
      </w:pPr>
      <w:r>
        <w:rPr>
          <w:rFonts w:ascii="Arial" w:cs="Arial" w:eastAsia="Arial" w:hAnsi="Arial"/>
          <w:b/>
          <w:bCs/>
          <w:i w:val="false"/>
          <w:iCs w:val="false"/>
          <w:color w:val="1F3864"/>
          <w:sz w:val="28"/>
          <w:szCs w:val="28"/>
        </w:rPr>
        <w:t xml:space="preserve">3.1 Contact (Native — Person Type)</w:t>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CBM. It is the most complex entity in the implementation, spanning all four domains with type-specific fields controlled by dynamic logic visibility rules.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contactType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Mentor, Partner, Administrator, Presenter, Donor, Member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 single individual frequently holds multiple roles simultaneously. Mentors may also be Presenters and Administrators. Partners may also be Donors. The multiEnum discriminator allows a Contact to hold any combination of types and supports EspoCRM dynamic logic conditions using "has" operators for field visibility.</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Mentor Recruitment (MR),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Contact — individuals at client businesses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Mentor Contact — volunteer mentors (MN, MR). Includes type-specific lifecycle field: Mentor Status with values Prospect, Submitted, In Review, Provisional, Active, Paused, Inactive, Resigned, Departed, Declined</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Contact — individuals at partner organizations (CR)</w:t>
      </w:r>
    </w:p>
    <w:p>
      <w:pPr>
        <w:pStyle w:val="ListParagraph"/>
        <w:numPr>
          <w:ilvl w:val="0"/>
          <w:numId w:val="2"/>
        </w:numPr>
        <w:spacing w:after="60"/>
      </w:pPr>
      <w:r>
        <w:rPr>
          <w:rFonts w:ascii="Arial" w:cs="Arial" w:eastAsia="Arial" w:hAnsi="Arial"/>
          <w:b w:val="false"/>
          <w:bCs w:val="false"/>
          <w:i w:val="false"/>
          <w:iCs w:val="false"/>
          <w:sz w:val="22"/>
          <w:szCs w:val="22"/>
        </w:rPr>
        <w:t xml:space="preserve">Administrator — CBM staff with system access (All domains)</w:t>
      </w:r>
    </w:p>
    <w:p>
      <w:pPr>
        <w:pStyle w:val="ListParagraph"/>
        <w:numPr>
          <w:ilvl w:val="0"/>
          <w:numId w:val="2"/>
        </w:numPr>
        <w:spacing w:after="60"/>
      </w:pPr>
      <w:r>
        <w:rPr>
          <w:rFonts w:ascii="Arial" w:cs="Arial" w:eastAsia="Arial" w:hAnsi="Arial"/>
          <w:b w:val="false"/>
          <w:bCs w:val="false"/>
          <w:i w:val="false"/>
          <w:iCs w:val="false"/>
          <w:sz w:val="22"/>
          <w:szCs w:val="22"/>
        </w:rPr>
        <w:t xml:space="preserve">Presenter — event and workshop presenters (CR). This is a role, not a standalone entity; a Contact may be both Mentor and Presenter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Contact — individuals at funding entities (FU)</w:t>
      </w:r>
    </w:p>
    <w:p>
      <w:pPr>
        <w:pStyle w:val="ListParagraph"/>
        <w:numPr>
          <w:ilvl w:val="0"/>
          <w:numId w:val="2"/>
        </w:numPr>
        <w:spacing w:after="60"/>
      </w:pPr>
      <w:r>
        <w:rPr>
          <w:rFonts w:ascii="Arial" w:cs="Arial" w:eastAsia="Arial" w:hAnsi="Arial"/>
          <w:b w:val="false"/>
          <w:bCs w:val="false"/>
          <w:i w:val="false"/>
          <w:iCs w:val="false"/>
          <w:sz w:val="22"/>
          <w:szCs w:val="22"/>
        </w:rPr>
        <w:t xml:space="preserve">Member — general organizational members (CR)</w:t>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Prospect status for both mentors and clients is handled through type-specific lifecycle fields, not as a contactType value. A mentor prospect is a Contact with contactType = Mentor at an early lifecycle stage (Prospect or Submitted). A client prospect has not yet entered the system through MN-INTAKE.</w:t>
      </w:r>
    </w:p>
    <w:p>
      <w:pPr>
        <w:pStyle w:val="Heading2"/>
        <w:spacing w:after="120" w:before="240"/>
      </w:pPr>
      <w:r>
        <w:rPr>
          <w:rFonts w:ascii="Arial" w:cs="Arial" w:eastAsia="Arial" w:hAnsi="Arial"/>
          <w:b/>
          <w:bCs/>
          <w:i w:val="false"/>
          <w:iCs w:val="false"/>
          <w:color w:val="1F3864"/>
          <w:sz w:val="28"/>
          <w:szCs w:val="28"/>
        </w:rPr>
        <w:t xml:space="preserve">3.2 Account (Native — Company Type)</w:t>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CBM.</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accountType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Partner, Donor/Sponsor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An organization may serve multiple roles. A Partner Organization that also provides funding would be both Partner and Donor/Sponsor. Follows the same multiEnum pattern as Contact.</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Organization — client businesses receiving mentoring services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Organization — community partner businesses (CR)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Organization — funding entities (FU)</w:t>
      </w:r>
    </w:p>
    <w:p>
      <w:pPr>
        <w:pStyle w:val="Heading2"/>
        <w:spacing w:after="120" w:before="240"/>
      </w:pPr>
      <w:r>
        <w:rPr>
          <w:rFonts w:ascii="Arial" w:cs="Arial" w:eastAsia="Arial" w:hAnsi="Arial"/>
          <w:b/>
          <w:bCs/>
          <w:i w:val="false"/>
          <w:iCs w:val="false"/>
          <w:color w:val="1F3864"/>
          <w:sz w:val="28"/>
          <w:szCs w:val="28"/>
        </w:rPr>
        <w:t xml:space="preserve">3.3 Contribution (Custom — Base Type)</w:t>
      </w:r>
    </w:p>
    <w:p>
      <w:pPr>
        <w:spacing w:after="120"/>
      </w:pPr>
      <w:r>
        <w:rPr>
          <w:rFonts w:ascii="Arial" w:cs="Arial" w:eastAsia="Arial" w:hAnsi="Arial"/>
          <w:b w:val="false"/>
          <w:bCs w:val="false"/>
          <w:i w:val="false"/>
          <w:iCs w:val="false"/>
          <w:sz w:val="22"/>
          <w:szCs w:val="22"/>
        </w:rPr>
        <w:t xml:space="preserve">The Contribution entity consolidates all funding record types into a single entity with a type discriminator. This avoids maintaining four separate entities with largely overlapping fields.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contributionType (enum)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Donation, Sponsorship, Grant, Pledge</w:t>
      </w:r>
    </w:p>
    <w:p>
      <w:pPr>
        <w:spacing w:after="120"/>
      </w:pPr>
      <w:r>
        <w:rPr>
          <w:rFonts w:ascii="Arial" w:cs="Arial" w:eastAsia="Arial" w:hAnsi="Arial"/>
          <w:b/>
          <w:bCs/>
          <w:i w:val="false"/>
          <w:iCs w:val="false"/>
          <w:sz w:val="22"/>
          <w:szCs w:val="22"/>
        </w:rPr>
        <w:t xml:space="preserve">Single-Select Rationale: </w:t>
      </w:r>
      <w:r>
        <w:rPr>
          <w:rFonts w:ascii="Arial" w:cs="Arial" w:eastAsia="Arial" w:hAnsi="Arial"/>
          <w:b w:val="false"/>
          <w:bCs w:val="false"/>
          <w:i w:val="false"/>
          <w:iCs w:val="false"/>
          <w:sz w:val="22"/>
          <w:szCs w:val="22"/>
        </w:rPr>
        <w:t xml:space="preserve">A contribution record is exactly one type. Unlike Contact and Account where an entity can hold multiple roles, a single funding transaction is a Donation, Sponsorship, Grant, or Pledge — not a combination.</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Donation — individual donation records with donor, amount, date, payment method, and designation</w:t>
      </w:r>
    </w:p>
    <w:p>
      <w:pPr>
        <w:pStyle w:val="ListParagraph"/>
        <w:numPr>
          <w:ilvl w:val="0"/>
          <w:numId w:val="2"/>
        </w:numPr>
        <w:spacing w:after="60"/>
      </w:pPr>
      <w:r>
        <w:rPr>
          <w:rFonts w:ascii="Arial" w:cs="Arial" w:eastAsia="Arial" w:hAnsi="Arial"/>
          <w:b w:val="false"/>
          <w:bCs w:val="false"/>
          <w:i w:val="false"/>
          <w:iCs w:val="false"/>
          <w:sz w:val="22"/>
          <w:szCs w:val="22"/>
        </w:rPr>
        <w:t xml:space="preserve">Sponsorship — sponsorship commitments with terms and associated program or event</w:t>
      </w:r>
    </w:p>
    <w:p>
      <w:pPr>
        <w:pStyle w:val="ListParagraph"/>
        <w:numPr>
          <w:ilvl w:val="0"/>
          <w:numId w:val="2"/>
        </w:numPr>
        <w:spacing w:after="60"/>
      </w:pPr>
      <w:r>
        <w:rPr>
          <w:rFonts w:ascii="Arial" w:cs="Arial" w:eastAsia="Arial" w:hAnsi="Arial"/>
          <w:b w:val="false"/>
          <w:bCs w:val="false"/>
          <w:i w:val="false"/>
          <w:iCs w:val="false"/>
          <w:sz w:val="22"/>
          <w:szCs w:val="22"/>
        </w:rPr>
        <w:t xml:space="preserve">Grant — grant records with application status, award amount, reporting requirements, and renewal dates</w:t>
      </w:r>
    </w:p>
    <w:p>
      <w:pPr>
        <w:pStyle w:val="ListParagraph"/>
        <w:numPr>
          <w:ilvl w:val="0"/>
          <w:numId w:val="2"/>
        </w:numPr>
        <w:spacing w:after="60"/>
      </w:pPr>
      <w:r>
        <w:rPr>
          <w:rFonts w:ascii="Arial" w:cs="Arial" w:eastAsia="Arial" w:hAnsi="Arial"/>
          <w:b w:val="false"/>
          <w:bCs w:val="false"/>
          <w:i w:val="false"/>
          <w:iCs w:val="false"/>
          <w:sz w:val="22"/>
          <w:szCs w:val="22"/>
        </w:rPr>
        <w:t xml:space="preserve">Pledge — pledge records with fulfillment tracking</w:t>
      </w:r>
    </w:p>
    <w:p>
      <w:pPr>
        <w:spacing w:after="120"/>
      </w:pPr>
      <w:r>
        <w:rPr>
          <w:rFonts w:ascii="Arial" w:cs="Arial" w:eastAsia="Arial" w:hAnsi="Arial"/>
          <w:b/>
          <w:bCs/>
          <w:i w:val="false"/>
          <w:iCs w:val="false"/>
          <w:sz w:val="22"/>
          <w:szCs w:val="22"/>
        </w:rPr>
        <w:t xml:space="preserve">Type-Specific Fields: </w:t>
      </w:r>
      <w:r>
        <w:rPr>
          <w:rFonts w:ascii="Arial" w:cs="Arial" w:eastAsia="Arial" w:hAnsi="Arial"/>
          <w:b w:val="false"/>
          <w:bCs w:val="false"/>
          <w:i w:val="false"/>
          <w:iCs w:val="false"/>
          <w:sz w:val="22"/>
          <w:szCs w:val="22"/>
        </w:rPr>
        <w:t xml:space="preserve">Grant has fields not shared by other types (application status, reporting requirements, renewal dates). Pledge has fulfillment tracking fields. Sponsorship has associated program/event fields. These will be controlled by dynamic logic visibility rules based on contributionType. Full field definitions deferred to Entity PRD and FU domain process documents.</w:t>
      </w:r>
    </w:p>
    <w:p>
      <w:r>
        <w:br w:type="page"/>
      </w:r>
    </w:p>
    <w:p>
      <w:pPr>
        <w:pStyle w:val="Heading1"/>
        <w:spacing w:after="120" w:before="360"/>
      </w:pPr>
      <w:r>
        <w:rPr>
          <w:rFonts w:ascii="Arial" w:cs="Arial" w:eastAsia="Arial" w:hAnsi="Arial"/>
          <w:b/>
          <w:bCs/>
          <w:i w:val="false"/>
          <w:iCs w:val="false"/>
          <w:color w:val="1F3864"/>
          <w:sz w:val="32"/>
          <w:szCs w:val="32"/>
        </w:rPr>
        <w:t xml:space="preserve">4. Custom Entity Summary</w:t>
      </w:r>
    </w:p>
    <w:p>
      <w:pPr>
        <w:spacing w:after="120"/>
      </w:pPr>
      <w:r>
        <w:rPr>
          <w:rFonts w:ascii="Arial" w:cs="Arial" w:eastAsia="Arial" w:hAnsi="Arial"/>
          <w:b w:val="false"/>
          <w:bCs w:val="false"/>
          <w:i w:val="false"/>
          <w:iCs w:val="false"/>
          <w:sz w:val="22"/>
          <w:szCs w:val="22"/>
        </w:rPr>
        <w:t xml:space="preserve">Custom entities must be created via YAML program files. Each requires an entity type designation that determines the built-in fields available. Entity types and their built-in fields in EspoCRM:</w:t>
      </w:r>
    </w:p>
    <w:p>
      <w:pPr>
        <w:pStyle w:val="ListParagraph"/>
        <w:numPr>
          <w:ilvl w:val="0"/>
          <w:numId w:val="2"/>
        </w:numPr>
        <w:spacing w:after="60"/>
      </w:pPr>
      <w:r>
        <w:rPr>
          <w:rFonts w:ascii="Arial" w:cs="Arial" w:eastAsia="Arial" w:hAnsi="Arial"/>
          <w:b w:val="false"/>
          <w:bCs w:val="false"/>
          <w:i w:val="false"/>
          <w:iCs w:val="false"/>
          <w:sz w:val="22"/>
          <w:szCs w:val="22"/>
        </w:rPr>
        <w:t xml:space="preserve">Base — name and description only</w:t>
      </w:r>
    </w:p>
    <w:p>
      <w:pPr>
        <w:pStyle w:val="ListParagraph"/>
        <w:numPr>
          <w:ilvl w:val="0"/>
          <w:numId w:val="2"/>
        </w:numPr>
        <w:spacing w:after="60"/>
      </w:pPr>
      <w:r>
        <w:rPr>
          <w:rFonts w:ascii="Arial" w:cs="Arial" w:eastAsia="Arial" w:hAnsi="Arial"/>
          <w:b w:val="false"/>
          <w:bCs w:val="false"/>
          <w:i w:val="false"/>
          <w:iCs w:val="false"/>
          <w:sz w:val="22"/>
          <w:szCs w:val="22"/>
        </w:rPr>
        <w:t xml:space="preserve">Person — adds firstName, lastName, emailAddress, phoneNumber, 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Company — adds emailAddress, phoneNumber, billingAddress, shippingAddress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Event — adds dateStart, dateEnd, duration, status, parent fields</w:t>
      </w:r>
    </w:p>
    <w:p>
      <w:pPr>
        <w:pStyle w:val="Heading2"/>
        <w:spacing w:after="120" w:before="240"/>
      </w:pPr>
      <w:r>
        <w:rPr>
          <w:rFonts w:ascii="Arial" w:cs="Arial" w:eastAsia="Arial" w:hAnsi="Arial"/>
          <w:b/>
          <w:bCs/>
          <w:i w:val="false"/>
          <w:iCs w:val="false"/>
          <w:color w:val="1F3864"/>
          <w:sz w:val="28"/>
          <w:szCs w:val="28"/>
        </w:rPr>
        <w:t xml:space="preserve">4.1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mentoring relationship linking a client organization to a volunteer mentor. The heaviest field set in the MN domain with fields defined across all five completed process documents. Tracks the full engagement lifecycle from intake through closure, including status, session roll-up analytics, meeting cadence, and engagement outcomes.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Engagement is an abstract relationship, not a person, company, or calendar event. It has no inherent date range — its lifecycle is status-driven, not time-bounded.</w:t>
      </w:r>
    </w:p>
    <w:p>
      <w:pPr>
        <w:pStyle w:val="Heading2"/>
        <w:spacing w:after="120" w:before="240"/>
      </w:pPr>
      <w:r>
        <w:rPr>
          <w:rFonts w:ascii="Arial" w:cs="Arial" w:eastAsia="Arial" w:hAnsi="Arial"/>
          <w:b/>
          <w:bCs/>
          <w:i w:val="false"/>
          <w:iCs w:val="false"/>
          <w:color w:val="1F3864"/>
          <w:sz w:val="28"/>
          <w:szCs w:val="28"/>
        </w:rPr>
        <w:t xml:space="preserve">4.2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Individual mentoring meetings within an engagement. Sessions are never deleted; rescheduling preserves the original session with a rescheduled status and creates a new session. The Event type provides built-in dateStart, dateEnd,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because sessions are calendar events with date, time, and duration. The built-in Event fields align naturally with session scheduling and recording.</w:t>
      </w:r>
    </w:p>
    <w:p>
      <w:pPr>
        <w:pStyle w:val="Heading2"/>
        <w:spacing w:after="120" w:before="240"/>
      </w:pPr>
      <w:r>
        <w:rPr>
          <w:rFonts w:ascii="Arial" w:cs="Arial" w:eastAsia="Arial" w:hAnsi="Arial"/>
          <w:b/>
          <w:bCs/>
          <w:i w:val="false"/>
          <w:iCs w:val="false"/>
          <w:color w:val="1F3864"/>
          <w:sz w:val="28"/>
          <w:szCs w:val="28"/>
        </w:rPr>
        <w:t xml:space="preserve">4.3 Partnership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Tracks the terms, dates, and renewal schedule for partner organization relationships. Linked to the Account entity for the associated partner organization.</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document/agreement record, not a person, company, or event.</w:t>
      </w:r>
    </w:p>
    <w:p>
      <w:pPr>
        <w:pStyle w:val="Heading2"/>
        <w:spacing w:after="120" w:before="240"/>
      </w:pPr>
      <w:r>
        <w:rPr>
          <w:rFonts w:ascii="Arial" w:cs="Arial" w:eastAsia="Arial" w:hAnsi="Arial"/>
          <w:b/>
          <w:bCs/>
          <w:i w:val="false"/>
          <w:iCs w:val="false"/>
          <w:color w:val="1F3864"/>
          <w:sz w:val="28"/>
          <w:szCs w:val="28"/>
        </w:rPr>
        <w:t xml:space="preserve">4.4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Workshops, clinics, and events that build awareness and attract prospective clients. Includes scheduling, capacity, status, and links to partner co-sponsors and sponsors. The Event type provides built-in date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for natural alignment with calendar scheduling. Note: "Event" is also an EspoCRM entity type; the custom entity named "Event" uses the Event type. If naming conflicts arise during implementation, the display label may need adjustment (e.g., "CBM Event").</w:t>
      </w:r>
    </w:p>
    <w:p>
      <w:pPr>
        <w:pStyle w:val="Heading2"/>
        <w:spacing w:after="120" w:before="240"/>
      </w:pPr>
      <w:r>
        <w:rPr>
          <w:rFonts w:ascii="Arial" w:cs="Arial" w:eastAsia="Arial" w:hAnsi="Arial"/>
          <w:b/>
          <w:bCs/>
          <w:i w:val="false"/>
          <w:iCs w:val="false"/>
          <w:color w:val="1F3864"/>
          <w:sz w:val="28"/>
          <w:szCs w:val="28"/>
        </w:rPr>
        <w:t xml:space="preserve">4.5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Links a Contact to an Event with registration status and attendance tracking. Separate entity required because EspoCRM many-to-many relationships do not support fields (registration status, attendance confirmed, etc.).</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junction record between Contact and Event with metadata fields, not a person, company, or event itself.</w:t>
      </w:r>
    </w:p>
    <w:p>
      <w:pPr>
        <w:pStyle w:val="Heading2"/>
        <w:spacing w:after="120" w:before="240"/>
      </w:pPr>
      <w:r>
        <w:rPr>
          <w:rFonts w:ascii="Arial" w:cs="Arial" w:eastAsia="Arial" w:hAnsi="Arial"/>
          <w:b/>
          <w:bCs/>
          <w:i w:val="false"/>
          <w:iCs w:val="false"/>
          <w:color w:val="1F3864"/>
          <w:sz w:val="28"/>
          <w:szCs w:val="28"/>
        </w:rPr>
        <w:t xml:space="preserve">4.6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Consolidated funding record for all contribution types: donations, sponsorships, grants, and pledges. Uses a contributionType enum discriminator with type-specific fields controlled by dynamic logic. Shared fields include amount, date, donor/sponsor link, campaign link, and payment method.</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grants and pledges have date-related fields, the primary identity is a financial transaction record, not a calendar event.</w:t>
      </w:r>
    </w:p>
    <w:p>
      <w:pPr>
        <w:pStyle w:val="Heading2"/>
        <w:spacing w:after="120" w:before="240"/>
      </w:pPr>
      <w:r>
        <w:rPr>
          <w:rFonts w:ascii="Arial" w:cs="Arial" w:eastAsia="Arial" w:hAnsi="Arial"/>
          <w:b/>
          <w:bCs/>
          <w:i w:val="false"/>
          <w:iCs w:val="false"/>
          <w:color w:val="1F3864"/>
          <w:sz w:val="28"/>
          <w:szCs w:val="28"/>
        </w:rPr>
        <w:t xml:space="preserve">4.7 Fundraising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Campaign tracking with goals, progress, and linked contributions. Tracks campaign performance against funding targets.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campaigns have start and end dates, the primary purpose is goal tracking and contribution aggregation, not calendar scheduling.</w:t>
      </w:r>
    </w:p>
    <w:p>
      <w:r>
        <w:br w:type="page"/>
      </w:r>
    </w:p>
    <w:p>
      <w:pPr>
        <w:pStyle w:val="Heading1"/>
        <w:spacing w:after="120" w:before="360"/>
      </w:pPr>
      <w:r>
        <w:rPr>
          <w:rFonts w:ascii="Arial" w:cs="Arial" w:eastAsia="Arial" w:hAnsi="Arial"/>
          <w:b/>
          <w:bCs/>
          <w:i w:val="false"/>
          <w:iCs w:val="false"/>
          <w:color w:val="1F3864"/>
          <w:sz w:val="32"/>
          <w:szCs w:val="32"/>
        </w:rPr>
        <w:t xml:space="preserve">5. Cross-Domain Entity Matrix</w:t>
      </w:r>
    </w:p>
    <w:p>
      <w:pPr>
        <w:spacing w:after="120"/>
      </w:pPr>
      <w:r>
        <w:rPr>
          <w:rFonts w:ascii="Arial" w:cs="Arial" w:eastAsia="Arial" w:hAnsi="Arial"/>
          <w:b w:val="false"/>
          <w:bCs w:val="false"/>
          <w:i w:val="false"/>
          <w:iCs w:val="false"/>
          <w:sz w:val="22"/>
          <w:szCs w:val="22"/>
        </w:rPr>
        <w:t xml:space="preserve">This matrix shows which CRM entities are referenced by which domains. Entities referenced by multiple domains require Entity PRDs that consolidate fields from all contributing domains. Domains marked with an asterisk (*) have only summary-level data from the Master PRD; field-level detail will be added when those domain process documents are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40"/>
        <w:gridCol w:w="1240"/>
        <w:gridCol w:w="1240"/>
        <w:gridCol w:w="1240"/>
        <w:gridCol w:w="20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MN</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MR *</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 *</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FU *</w:t>
            </w:r>
          </w:p>
        </w:tc>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 Count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3</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Partnership Agreement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Registration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Fundraising Campaign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MR, CR, and FU domains have summary-level data from the Master PRD only. Process documents for these domains have not yet been produced. The cross-domain matrix will be updated as those domains are defined.</w:t>
      </w:r>
    </w:p>
    <w:p>
      <w:r>
        <w:br w:type="page"/>
      </w:r>
    </w:p>
    <w:p>
      <w:pPr>
        <w:pStyle w:val="Heading1"/>
        <w:spacing w:after="120" w:before="360"/>
      </w:pPr>
      <w:r>
        <w:rPr>
          <w:rFonts w:ascii="Arial" w:cs="Arial" w:eastAsia="Arial" w:hAnsi="Arial"/>
          <w:b/>
          <w:bCs/>
          <w:i w:val="false"/>
          <w:iCs w:val="false"/>
          <w:color w:val="1F3864"/>
          <w:sz w:val="32"/>
          <w:szCs w:val="32"/>
        </w:rPr>
        <w:t xml:space="preserve">6.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EI-ISS-001</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Acknowledgment/Tax Receipt: separate entity or feature of Contribution?</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references donor acknowledgment generation for tax receipts. Determine during FU domain process definition whether this requires a standalone entity or is a system action that produces output from Contribution records.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EI-ISS-002</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entity naming conflict with EspoCRM built-in Event type.</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EspoCRM has both an entity type called "Event" and the ability to create custom entities of type Event. If the custom entity named "Event" causes platform conflicts, the display label may need adjustment (e.g., "CBM Event" or "Workshop"). Verify during Entity PRD or YAML generation.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EI-ISS-003</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lifecycle values: Prospect added to existing list.</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MN Domain PRD references nine Mentor Status values from the MR domain. Prospect has been confirmed as an additional value. The complete lifecycle (Prospect, Submitted, In Review, Provisional, Active, Paused, Inactive, Resigned, Departed, Declined) must be confirmed during MR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EI-ISS-004</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type Client needs a lifecycle field analogous to Mentor Status. The lifecycle stages and field definition will be established during MN-INTAKE Entity PRD or when the CR domain is defined.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lifecycle field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partner status tracking (prospect through active). The lifecycle stages and field definition will be established during CR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EI-ISS-006</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donor/sponsor pipeline stages (Prospect, Contacted, In Discussion, Committed, Active, Lapsed, Closed). The lifecycle stages and field definition will be established during FU domain process definition.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EI-ISS-007</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lifecycle fields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Account types (Client, Partner, Donor/Sponsor) may each need type-specific lifecycle fields. To be determined during Entity PRD conversations.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EI-ISS-008</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cross-domain entities.</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and Account span all four domains but only the MN domain has field-level detail. Entity PRDs for Contact and Account will be incomplete until MR, CR, and FU domain process documents are produced. Entity PRDs should document what is known and flag incomplete domains for future updates.</w:t>
            </w:r>
          </w:p>
        </w:tc>
      </w:tr>
    </w:tbl>
    <w:p>
      <w:r>
        <w:br w:type="page"/>
      </w:r>
    </w:p>
    <w:p>
      <w:pPr>
        <w:pStyle w:val="Heading1"/>
        <w:spacing w:after="120" w:before="360"/>
      </w:pPr>
      <w:r>
        <w:rPr>
          <w:rFonts w:ascii="Arial" w:cs="Arial" w:eastAsia="Arial" w:hAnsi="Arial"/>
          <w:b/>
          <w:bCs/>
          <w:i w:val="false"/>
          <w:iCs w:val="false"/>
          <w:color w:val="1F3864"/>
          <w:sz w:val="32"/>
          <w:szCs w:val="32"/>
        </w:rPr>
        <w:t xml:space="preserve">7. Next Steps</w:t>
      </w:r>
    </w:p>
    <w:p>
      <w:pPr>
        <w:spacing w:after="120"/>
      </w:pPr>
      <w:r>
        <w:rPr>
          <w:rFonts w:ascii="Arial" w:cs="Arial" w:eastAsia="Arial" w:hAnsi="Arial"/>
          <w:b w:val="false"/>
          <w:bCs w:val="false"/>
          <w:i w:val="false"/>
          <w:iCs w:val="false"/>
          <w:sz w:val="22"/>
          <w:szCs w:val="22"/>
        </w:rPr>
        <w:t xml:space="preserve">With the Entity Inventory complete, the next phase is Entity PRDs (Phase 2b) — one conversation per CRM entity. Recommended priority order:</w:t>
      </w:r>
    </w:p>
    <w:p>
      <w:pPr>
        <w:pStyle w:val="ListParagraph"/>
        <w:numPr>
          <w:ilvl w:val="0"/>
          <w:numId w:val="2"/>
        </w:numPr>
        <w:spacing w:after="60"/>
      </w:pPr>
      <w:r>
        <w:rPr>
          <w:rFonts w:ascii="Arial" w:cs="Arial" w:eastAsia="Arial" w:hAnsi="Arial"/>
          <w:b/>
          <w:bCs/>
          <w:i w:val="false"/>
          <w:iCs w:val="false"/>
          <w:sz w:val="22"/>
          <w:szCs w:val="22"/>
        </w:rPr>
        <w:t xml:space="preserve">1. Contact</w:t>
      </w:r>
      <w:r>
        <w:rPr>
          <w:rFonts w:ascii="Arial" w:cs="Arial" w:eastAsia="Arial" w:hAnsi="Arial"/>
          <w:b w:val="false"/>
          <w:bCs w:val="false"/>
          <w:i w:val="false"/>
          <w:iCs w:val="false"/>
          <w:sz w:val="22"/>
          <w:szCs w:val="22"/>
        </w:rPr>
        <w:t xml:space="preserve"> — the most complex shared entity, spanning all four domains with seven contactType values and type-specific lifecycle fields. Detailed field data available from the MN Domain PRD; MR, CR, and FU fields at summary level.</w:t>
      </w:r>
    </w:p>
    <w:p>
      <w:pPr>
        <w:pStyle w:val="ListParagraph"/>
        <w:numPr>
          <w:ilvl w:val="0"/>
          <w:numId w:val="2"/>
        </w:numPr>
        <w:spacing w:after="60"/>
      </w:pPr>
      <w:r>
        <w:rPr>
          <w:rFonts w:ascii="Arial" w:cs="Arial" w:eastAsia="Arial" w:hAnsi="Arial"/>
          <w:b/>
          <w:bCs/>
          <w:i w:val="false"/>
          <w:iCs w:val="false"/>
          <w:sz w:val="22"/>
          <w:szCs w:val="22"/>
        </w:rPr>
        <w:t xml:space="preserve">2. Account</w:t>
      </w:r>
      <w:r>
        <w:rPr>
          <w:rFonts w:ascii="Arial" w:cs="Arial" w:eastAsia="Arial" w:hAnsi="Arial"/>
          <w:b w:val="false"/>
          <w:bCs w:val="false"/>
          <w:i w:val="false"/>
          <w:iCs w:val="false"/>
          <w:sz w:val="22"/>
          <w:szCs w:val="22"/>
        </w:rPr>
        <w:t xml:space="preserve"> — shared entity spanning MN, CR, and FU with three accountType values. MN domain has field-level detail; CR and FU at summary level.</w:t>
      </w:r>
    </w:p>
    <w:p>
      <w:pPr>
        <w:pStyle w:val="ListParagraph"/>
        <w:numPr>
          <w:ilvl w:val="0"/>
          <w:numId w:val="2"/>
        </w:numPr>
        <w:spacing w:after="60"/>
      </w:pPr>
      <w:r>
        <w:rPr>
          <w:rFonts w:ascii="Arial" w:cs="Arial" w:eastAsia="Arial" w:hAnsi="Arial"/>
          <w:b/>
          <w:bCs/>
          <w:i w:val="false"/>
          <w:iCs w:val="false"/>
          <w:sz w:val="22"/>
          <w:szCs w:val="22"/>
        </w:rPr>
        <w:t xml:space="preserve">3. Engagement</w:t>
      </w:r>
      <w:r>
        <w:rPr>
          <w:rFonts w:ascii="Arial" w:cs="Arial" w:eastAsia="Arial" w:hAnsi="Arial"/>
          <w:b w:val="false"/>
          <w:bCs w:val="false"/>
          <w:i w:val="false"/>
          <w:iCs w:val="false"/>
          <w:sz w:val="22"/>
          <w:szCs w:val="22"/>
        </w:rPr>
        <w:t xml:space="preserve"> — custom entity with the heaviest field set in the MN domain. Single-domain entity with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4. Session</w:t>
      </w:r>
      <w:r>
        <w:rPr>
          <w:rFonts w:ascii="Arial" w:cs="Arial" w:eastAsia="Arial" w:hAnsi="Arial"/>
          <w:b w:val="false"/>
          <w:bCs w:val="false"/>
          <w:i w:val="false"/>
          <w:iCs w:val="false"/>
          <w:sz w:val="22"/>
          <w:szCs w:val="22"/>
        </w:rPr>
        <w:t xml:space="preserve"> — custom entity for MN domain.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5. Remaining entities</w:t>
      </w:r>
      <w:r>
        <w:rPr>
          <w:rFonts w:ascii="Arial" w:cs="Arial" w:eastAsia="Arial" w:hAnsi="Arial"/>
          <w:b w:val="false"/>
          <w:bCs w:val="false"/>
          <w:i w:val="false"/>
          <w:iCs w:val="false"/>
          <w:sz w:val="22"/>
          <w:szCs w:val="22"/>
        </w:rPr>
        <w:t xml:space="preserve"> — Partnership Agreement, Event, Event Registration, Contribution, and Fundraising Campaign. These entities belong to the CR and FU domains where process documents have not yet been produced. Entity PRDs should document what is known from the Master PRD and flag incomplete domains.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For the first Entity PRD conversation, upload the Master PRD and this Entity Inventory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tabs>
        <w:tab w:val="right" w:pos="9360"/>
      </w:tabs>
    </w:pPr>
    <w:r>
      <w:rPr>
        <w:rFonts w:ascii="Arial" w:cs="Arial" w:eastAsia="Arial" w:hAnsi="Arial"/>
        <w:b w:val="false"/>
        <w:bCs w:val="false"/>
        <w:i w:val="false"/>
        <w:iCs w:val="false"/>
        <w:color w:val="888888"/>
        <w:sz w:val="16"/>
        <w:szCs w:val="16"/>
      </w:rPr>
      <w:t xml:space="preserve">Entity Inventory</w:t>
    </w:r>
    <w:r>
      <w:rPr>
        <w:rFonts w:ascii="Arial" w:cs="Arial" w:eastAsia="Arial" w:hAnsi="Arial"/>
        <w:color w:val="888888"/>
        <w:sz w:val="16"/>
        <w:szCs w:val="16"/>
      </w:rPr>
      <w:t xml:space="preserve">	</w:t>
    </w:r>
    <w:r>
      <w:rPr>
        <w:rFonts w:ascii="Arial" w:cs="Arial" w:eastAsia="Arial" w:hAnsi="Arial"/>
        <w:b w:val="false"/>
        <w:bCs w:val="false"/>
        <w:i w:val="false"/>
        <w:iCs w:val="false"/>
        <w:color w:val="888888"/>
        <w:sz w:val="16"/>
        <w:szCs w:val="16"/>
      </w:rPr>
      <w:t xml:space="preserve">Last Updated: 04-01-26 17:00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b w:val="false"/>
        <w:bCs w:val="false"/>
        <w:i w:val="false"/>
        <w:iCs w:val="false"/>
        <w:color w:val="888888"/>
        <w:sz w:val="20"/>
        <w:szCs w:val="20"/>
      </w:rPr>
      <w:t xml:space="preserve">Cleveland Business Mentors</w:t>
    </w:r>
    <w:r>
      <w:rPr>
        <w:rFonts w:ascii="Arial" w:cs="Arial" w:eastAsia="Arial" w:hAnsi="Arial"/>
        <w:color w:val="888888"/>
        <w:sz w:val="20"/>
        <w:szCs w:val="20"/>
      </w:rPr>
      <w:t xml:space="preserve">	</w:t>
    </w:r>
    <w:r>
      <w:rPr>
        <w:rFonts w:ascii="Arial" w:cs="Arial" w:eastAsia="Arial" w:hAnsi="Arial"/>
        <w:b w:val="false"/>
        <w:bCs w:val="false"/>
        <w:i w:val="false"/>
        <w:iCs w:val="false"/>
        <w:color w:val="888888"/>
        <w:sz w:val="20"/>
        <w:szCs w:val="20"/>
      </w:rPr>
      <w:t xml:space="preserve">Entity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2026-04-01T19:25:34.589Z</dcterms:created>
  <dcterms:modified xsi:type="dcterms:W3CDTF">2026-04-01T19:25:34.590Z</dcterms:modified>
</cp:coreProperties>
</file>

<file path=docProps/custom.xml><?xml version="1.0" encoding="utf-8"?>
<Properties xmlns="http://schemas.openxmlformats.org/officeDocument/2006/custom-properties" xmlns:vt="http://schemas.openxmlformats.org/officeDocument/2006/docPropsVTypes"/>
</file>