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80"/>
        <w:rPr/>
      </w:pPr>
      <w:r>
        <w:rPr/>
      </w:r>
    </w:p>
    <w:p>
      <w:pPr>
        <w:pStyle w:val="Normal"/>
        <w:spacing w:before="0" w:after="120"/>
        <w:jc w:val="center"/>
        <w:rPr/>
      </w:pPr>
      <w:r>
        <w:rPr>
          <w:rFonts w:eastAsia="Arial" w:cs="Arial"/>
          <w:b/>
          <w:bCs/>
          <w:color w:val="1F4E79"/>
          <w:sz w:val="48"/>
          <w:szCs w:val="48"/>
        </w:rPr>
        <w:t>Cleveland Business Mentors</w:t>
      </w:r>
    </w:p>
    <w:p>
      <w:pPr>
        <w:pStyle w:val="Normal"/>
        <w:spacing w:before="0" w:after="120"/>
        <w:jc w:val="center"/>
        <w:rPr/>
      </w:pPr>
      <w:r>
        <w:rPr>
          <w:rFonts w:eastAsia="Arial" w:cs="Arial"/>
          <w:b/>
          <w:bCs/>
          <w:sz w:val="36"/>
          <w:szCs w:val="36"/>
        </w:rPr>
        <w:t>CRM Implementation Guide</w:t>
      </w:r>
    </w:p>
    <w:p>
      <w:pPr>
        <w:pStyle w:val="Normal"/>
        <w:spacing w:before="0" w:after="480"/>
        <w:jc w:val="center"/>
        <w:rPr/>
      </w:pPr>
      <w:r>
        <w:rPr>
          <w:rFonts w:eastAsia="Arial" w:cs="Arial"/>
          <w:color w:val="666666"/>
          <w:sz w:val="20"/>
          <w:szCs w:val="20"/>
        </w:rPr>
        <w:t>Version 0.1  |  In Progress  |  March 18, 2026</w:t>
      </w:r>
    </w:p>
    <w:p>
      <w:pPr>
        <w:pStyle w:val="Normal"/>
        <w:pBdr>
          <w:bottom w:val="single" w:sz="6" w:space="1" w:color="2E75B6"/>
        </w:pBdr>
        <w:spacing w:before="0" w:after="480"/>
        <w:rPr/>
      </w:pPr>
      <w:r>
        <w:rPr/>
      </w:r>
    </w:p>
    <w:p>
      <w:pPr>
        <w:pStyle w:val="Normal"/>
        <w:spacing w:before="0" w:after="120"/>
        <w:rPr/>
      </w:pPr>
      <w:r>
        <w:rPr>
          <w:rFonts w:eastAsia="Arial" w:cs="Arial"/>
          <w:sz w:val="18"/>
          <w:szCs w:val="18"/>
        </w:rPr>
        <w:t>This document provides the complete step-by-step EspoCRM configuration guide for Cleveland Business Mentors. It covers all entities, fields, relationships, roles, workflows, integrations, and testing procedures across both the Client and Mentor domains.</w:t>
      </w:r>
    </w:p>
    <w:p>
      <w:pPr>
        <w:pStyle w:val="Normal"/>
        <w:spacing w:before="0" w:after="120"/>
        <w:rPr/>
      </w:pPr>
      <w:r>
        <w:rPr>
          <w:rFonts w:eastAsia="Arial" w:cs="Arial"/>
          <w:sz w:val="18"/>
          <w:szCs w:val="18"/>
        </w:rPr>
        <w:t>All dropdown field values are defined in Section 2. Implementation steps are sequenced to avoid dependency failures — later phases depend on entities configured in earlier phases. Do not skip phases or reorder steps unless you fully understand the dependencies.</w:t>
      </w:r>
    </w:p>
    <w:p>
      <w:pPr>
        <w:pStyle w:val="Normal"/>
        <w:spacing w:before="0" w:after="120"/>
        <w:rPr/>
      </w:pPr>
      <w:r>
        <w:rPr>
          <w:rFonts w:eastAsia="Arial" w:cs="Arial"/>
          <w:sz w:val="18"/>
          <w:szCs w:val="18"/>
        </w:rPr>
        <w:t>Related specification documents: CBM-PRD-CRM-Client.docx (client domain specification), CBM-PRD-CRM-Mentor.docx (mentor domain specification), CBM-PRD-CRM.docx (platform requirements).</w:t>
      </w:r>
    </w:p>
    <w:p>
      <w:pPr>
        <w:pStyle w:val="Normal"/>
        <w:rPr/>
      </w:pPr>
      <w:r>
        <w:rPr/>
      </w:r>
    </w:p>
    <w:p>
      <w:pPr>
        <w:pStyle w:val="Heading1"/>
        <w:rPr/>
      </w:pPr>
      <w:r>
        <w:rPr>
          <w:rFonts w:eastAsia="Arial" w:cs="Arial" w:ascii="Arial" w:hAnsi="Arial"/>
          <w:b/>
          <w:bCs/>
          <w:sz w:val="32"/>
          <w:szCs w:val="32"/>
        </w:rPr>
        <w:t>1. Overview</w:t>
      </w:r>
    </w:p>
    <w:p>
      <w:pPr>
        <w:pStyle w:val="Normal"/>
        <w:spacing w:before="0" w:after="120"/>
        <w:rPr/>
      </w:pPr>
      <w:r>
        <w:rPr>
          <w:rFonts w:eastAsia="Arial" w:cs="Arial"/>
          <w:sz w:val="18"/>
          <w:szCs w:val="18"/>
        </w:rPr>
        <w:t>This guide is intended for the CBM technology administrator configuring EspoCRM. It is the single authoritative implementation reference — steps in this document supersede any implementation steps in the domain specification documents.</w:t>
      </w:r>
    </w:p>
    <w:p>
      <w:pPr>
        <w:pStyle w:val="Normal"/>
        <w:spacing w:before="0" w:after="120"/>
        <w:rPr/>
      </w:pPr>
      <w:r>
        <w:rPr>
          <w:rFonts w:eastAsia="Arial" w:cs="Arial"/>
          <w:sz w:val="18"/>
          <w:szCs w:val="18"/>
        </w:rPr>
        <w:t>The implementation is organized into 15 phases. Phases must be completed in order. Each phase builds on the entities and relationships configured in the previous phase.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Phase 1</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Shared Platform Entities (Note, Comment, Document)</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Phase 2</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Phase 3</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Contact Entity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Phase 4</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Engagement Entity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Phase 5</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Session Entity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Phase 6</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NPS Survey Response Entity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Phase 7</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Workshop &amp; Workshop Attendance Entities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Phase 8</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Dues Entity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Phase 9</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Relationships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Phase 10</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Role-Based Access Control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Phase 11</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WordPress Forms (Client Intake &amp; Mentor Application)</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Phase 12</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Moodle Integration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Phase 13</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Workflows &amp; Automation</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Phase 14</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Global Search Presets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Phase 15</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Testing &amp; Validation</w:t>
            </w:r>
          </w:p>
        </w:tc>
      </w:tr>
    </w:tbl>
    <w:p>
      <w:pPr>
        <w:pStyle w:val="Normal"/>
        <w:rPr/>
      </w:pPr>
      <w:r>
        <w:rPr/>
      </w:r>
    </w:p>
    <w:p>
      <w:pPr>
        <w:pStyle w:val="Heading1"/>
        <w:rPr/>
      </w:pPr>
      <w:r>
        <w:rPr>
          <w:rFonts w:eastAsia="Arial" w:cs="Arial" w:ascii="Arial" w:hAnsi="Arial"/>
          <w:b/>
          <w:bCs/>
          <w:sz w:val="32"/>
          <w:szCs w:val="32"/>
        </w:rPr>
        <w:t>2. Dropdown Value Reference</w:t>
      </w:r>
    </w:p>
    <w:p>
      <w:pPr>
        <w:pStyle w:val="Normal"/>
        <w:spacing w:before="0" w:after="120"/>
        <w:rPr/>
      </w:pPr>
      <w:r>
        <w:rPr>
          <w:rFonts w:eastAsia="Arial" w:cs="Arial"/>
          <w:sz w:val="18"/>
          <w:szCs w:val="18"/>
        </w:rPr>
        <w:t>All dropdown and multi-select fields used across the CRM are defined here. Configure these values in EspoCRM before creating any entities that use them. Fields marked TBD must be reviewed and confirmed by CBM leadership before go-live — starter values are provided as a starting point.</w:t>
      </w:r>
    </w:p>
    <w:p>
      <w:pPr>
        <w:pStyle w:val="Normal"/>
        <w:rPr/>
      </w:pPr>
      <w:r>
        <w:rPr/>
      </w:r>
    </w:p>
    <w:p>
      <w:pPr>
        <w:pStyle w:val="Heading2"/>
        <w:rPr/>
      </w:pPr>
      <w:r>
        <w:rPr>
          <w:rFonts w:eastAsia="Arial" w:cs="Arial" w:ascii="Arial" w:hAnsi="Arial"/>
          <w:b/>
          <w:bCs/>
          <w:sz w:val="28"/>
          <w:szCs w:val="28"/>
        </w:rPr>
        <w:t>2.1 Company Fields</w:t>
      </w:r>
    </w:p>
    <w:p>
      <w:pPr>
        <w:pStyle w:val="Normal"/>
        <w:rPr/>
      </w:pPr>
      <w:r>
        <w:rPr/>
      </w:r>
    </w:p>
    <w:p>
      <w:pPr>
        <w:pStyle w:val="Heading3"/>
        <w:rPr/>
      </w:pPr>
      <w:r>
        <w:rPr>
          <w:rFonts w:eastAsia="Arial" w:cs="Arial" w:ascii="Arial" w:hAnsi="Arial"/>
          <w:b/>
          <w:bCs/>
          <w:sz w:val="24"/>
          <w:szCs w:val="24"/>
        </w:rPr>
        <w:t>Organization Type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For-Profit | Non-Profit</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 Required.</w:t>
            </w:r>
          </w:p>
        </w:tc>
      </w:tr>
    </w:tbl>
    <w:p>
      <w:pPr>
        <w:pStyle w:val="Normal"/>
        <w:rPr/>
      </w:pPr>
      <w:r>
        <w:rPr/>
      </w:r>
    </w:p>
    <w:p>
      <w:pPr>
        <w:pStyle w:val="Heading3"/>
        <w:rPr/>
      </w:pPr>
      <w:r>
        <w:rPr>
          <w:rFonts w:eastAsia="Arial" w:cs="Arial" w:ascii="Arial" w:hAnsi="Arial"/>
          <w:b/>
          <w:bCs/>
          <w:sz w:val="24"/>
          <w:szCs w:val="24"/>
        </w:rPr>
        <w:t>Company Role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Client Company | Mentoring Company | Partner Company | Sponsor Company | Vendor Company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 Required. Cleveland Business Mentors = Mentoring Company.</w:t>
            </w:r>
          </w:p>
        </w:tc>
      </w:tr>
    </w:tbl>
    <w:p>
      <w:pPr>
        <w:pStyle w:val="Normal"/>
        <w:rPr/>
      </w:pPr>
      <w:r>
        <w:rPr/>
      </w:r>
    </w:p>
    <w:p>
      <w:pPr>
        <w:pStyle w:val="Heading3"/>
        <w:rPr/>
      </w:pPr>
      <w:r>
        <w:rPr>
          <w:rFonts w:eastAsia="Arial" w:cs="Arial" w:ascii="Arial" w:hAnsi="Arial"/>
          <w:b/>
          <w:bCs/>
          <w:sz w:val="24"/>
          <w:szCs w:val="24"/>
        </w:rPr>
        <w:t>Business Stage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Pre-Startup | Startup | Early Stage | Growth Stage | Established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 (client intake). Required.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Revenue thresholds to differentiate Startup from Early Stage are a planned future enhancement.</w:t>
            </w:r>
          </w:p>
        </w:tc>
      </w:tr>
    </w:tbl>
    <w:p>
      <w:pPr>
        <w:pStyle w:val="Normal"/>
        <w:rPr/>
      </w:pPr>
      <w:r>
        <w:rPr/>
      </w:r>
    </w:p>
    <w:p>
      <w:pPr>
        <w:pStyle w:val="Heading3"/>
        <w:rPr/>
      </w:pPr>
      <w:r>
        <w:rPr>
          <w:rFonts w:eastAsia="Arial" w:cs="Arial" w:ascii="Arial" w:hAnsi="Arial"/>
          <w:b/>
          <w:bCs/>
          <w:sz w:val="24"/>
          <w:szCs w:val="24"/>
        </w:rPr>
        <w:t>Revenue Range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Pre-Revenue | Under $50K | $50K – $100K | $100K – $250K | $250K – $500K | $500K – $1M | Over $1M</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 (Phase 2 client intake). Optional.</w:t>
            </w:r>
          </w:p>
        </w:tc>
      </w:tr>
    </w:tbl>
    <w:p>
      <w:pPr>
        <w:pStyle w:val="Normal"/>
        <w:rPr/>
      </w:pPr>
      <w:r>
        <w:rPr/>
      </w:r>
    </w:p>
    <w:p>
      <w:pPr>
        <w:pStyle w:val="Heading3"/>
        <w:rPr/>
      </w:pPr>
      <w:r>
        <w:rPr>
          <w:rFonts w:eastAsia="Arial" w:cs="Arial" w:ascii="Arial" w:hAnsi="Arial"/>
          <w:b/>
          <w:bCs/>
          <w:sz w:val="24"/>
          <w:szCs w:val="24"/>
        </w:rPr>
        <w:t>Time in Operation</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Not yet started | Less than 1 year | 1 – 2 years | 3 – 5 years | 6 – 10 years | More than 10 years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 (Phase 2 client intake). Optional.</w:t>
            </w:r>
          </w:p>
        </w:tc>
      </w:tr>
    </w:tbl>
    <w:p>
      <w:pPr>
        <w:pStyle w:val="Normal"/>
        <w:rPr/>
      </w:pPr>
      <w:r>
        <w:rPr/>
      </w:r>
    </w:p>
    <w:p>
      <w:pPr>
        <w:pStyle w:val="Heading3"/>
        <w:rPr/>
      </w:pPr>
      <w:r>
        <w:rPr>
          <w:rFonts w:eastAsia="Arial" w:cs="Arial" w:ascii="Arial" w:hAnsi="Arial"/>
          <w:b/>
          <w:bCs/>
          <w:sz w:val="24"/>
          <w:szCs w:val="24"/>
        </w:rPr>
        <w:t>Legal Business Structure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Sole Proprietor | Partnership | LLC | S-Corp | C-Corp | Non-Profit 501(c)(3) | Other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 (Phase 2 client intake). Shown when Registered with State = Yes. Optional.</w:t>
            </w:r>
          </w:p>
        </w:tc>
      </w:tr>
    </w:tbl>
    <w:p>
      <w:pPr>
        <w:pStyle w:val="Normal"/>
        <w:rPr/>
      </w:pPr>
      <w:r>
        <w:rPr/>
      </w:r>
    </w:p>
    <w:p>
      <w:pPr>
        <w:pStyle w:val="Heading3"/>
        <w:rPr/>
      </w:pPr>
      <w:r>
        <w:rPr>
          <w:rFonts w:eastAsia="Arial" w:cs="Arial" w:ascii="Arial" w:hAnsi="Arial"/>
          <w:b/>
          <w:bCs/>
          <w:sz w:val="24"/>
          <w:szCs w:val="24"/>
        </w:rPr>
        <w:t>Professional Advisors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Banker / Financial Institution | Attorney / Legal Counsel | Accountant / CPA | IT Consultant | Insurance Agent | Marketing / PR Consultant | Business Coach</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 (Phase 2 client intake). Multi-select. Optional.</w:t>
            </w:r>
          </w:p>
        </w:tc>
      </w:tr>
    </w:tbl>
    <w:p>
      <w:pPr>
        <w:pStyle w:val="Normal"/>
        <w:rPr/>
      </w:pPr>
      <w:r>
        <w:rPr/>
      </w:r>
    </w:p>
    <w:p>
      <w:pPr>
        <w:pStyle w:val="Heading3"/>
        <w:rPr/>
      </w:pPr>
      <w:r>
        <w:rPr>
          <w:rFonts w:eastAsia="Arial" w:cs="Arial" w:ascii="Arial" w:hAnsi="Arial"/>
          <w:b/>
          <w:bCs/>
          <w:sz w:val="24"/>
          <w:szCs w:val="24"/>
        </w:rPr>
        <w:t>NAICS Sectors (Top-Level)</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11 – Agriculture, Forestry, Fishing | 21 – Mining, Quarrying, Oil &amp; Gas | 22 – Utilities | 23 – Construction | 31-33 – Manufacturing | 42 – Wholesale Trade | 44-45 – Retail Trade | 48-49 – Transportation &amp; Warehousing | 51 – Information | 52 – Finance &amp; Insurance | 53 – Real Estate | 54 – Professional, Scientific &amp; Technical | 55 – Management of Companies | 56 – Administrative &amp; Support Services | 61 – Educational Services | 62 – Health Care &amp; Social Assistance | 71 – Arts, Entertainment &amp; Recreation | 72 – Accommodation &amp; Food Services | 81 – Other Services | 92 – Public Administration</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 (client intake) and Contact entity (mentor profile). Required for both.</w:t>
            </w:r>
          </w:p>
        </w:tc>
      </w:tr>
    </w:tbl>
    <w:p>
      <w:pPr>
        <w:pStyle w:val="Normal"/>
        <w:rPr/>
      </w:pPr>
      <w:r>
        <w:rPr/>
      </w:r>
    </w:p>
    <w:p>
      <w:pPr>
        <w:pStyle w:val="Heading3"/>
        <w:rPr/>
      </w:pPr>
      <w:r>
        <w:rPr>
          <w:rFonts w:eastAsia="Arial" w:cs="Arial" w:ascii="Arial" w:hAnsi="Arial"/>
          <w:b/>
          <w:bCs/>
          <w:sz w:val="24"/>
          <w:szCs w:val="24"/>
        </w:rPr>
        <w:t>Mentoring Focus Areas (TBD — Starter Values)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Business Planning &amp; Strategy | Marketing &amp; Sales | Financial Management &amp; Accounting | Operations &amp; Process Improvement | Human Resources &amp; Team Building | Legal &amp; Compliance | Technology &amp; Digital Transformation | Access to Capital &amp; Funding | E-Commerce &amp; Online Business | Export &amp; International Trade | Nonprofit Management | Social Entrepreneurship | Real Estate &amp; Property Management | Retail &amp; Consumer Goods | Food &amp; Beverage | Healthcare &amp; Wellness | Manufacturing &amp; Supply Chain | Construction &amp; Trades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Company entity (client intake, multi-select, required) and Contact entity (mentor profile, multi-select, required). Also used as Workshop Topic/Category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TBD — values must be reviewed and confirmed by CBM leadership before go-live.</w:t>
            </w:r>
          </w:p>
        </w:tc>
      </w:tr>
    </w:tbl>
    <w:p>
      <w:pPr>
        <w:pStyle w:val="Normal"/>
        <w:rPr/>
      </w:pPr>
      <w:r>
        <w:rPr/>
      </w:r>
    </w:p>
    <w:p>
      <w:pPr>
        <w:pStyle w:val="Heading2"/>
        <w:rPr/>
      </w:pPr>
      <w:r>
        <w:rPr>
          <w:rFonts w:eastAsia="Arial" w:cs="Arial" w:ascii="Arial" w:hAnsi="Arial"/>
          <w:b/>
          <w:bCs/>
          <w:sz w:val="28"/>
          <w:szCs w:val="28"/>
        </w:rPr>
        <w:t>2.2 Contact Fields</w:t>
      </w:r>
    </w:p>
    <w:p>
      <w:pPr>
        <w:pStyle w:val="Normal"/>
        <w:rPr/>
      </w:pPr>
      <w:r>
        <w:rPr/>
      </w:r>
    </w:p>
    <w:p>
      <w:pPr>
        <w:pStyle w:val="Heading3"/>
        <w:rPr/>
      </w:pPr>
      <w:r>
        <w:rPr>
          <w:rFonts w:eastAsia="Arial" w:cs="Arial" w:ascii="Arial" w:hAnsi="Arial"/>
          <w:b/>
          <w:bCs/>
          <w:sz w:val="24"/>
          <w:szCs w:val="24"/>
        </w:rPr>
        <w:t>Mentor Status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Submitted | Provisional | Declined | Active | Inactive | Departed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Contact entity (mentor contacts). Required.</w:t>
            </w:r>
          </w:p>
        </w:tc>
      </w:tr>
    </w:tbl>
    <w:p>
      <w:pPr>
        <w:pStyle w:val="Normal"/>
        <w:rPr/>
      </w:pPr>
      <w:r>
        <w:rPr/>
      </w:r>
    </w:p>
    <w:p>
      <w:pPr>
        <w:pStyle w:val="Heading3"/>
        <w:rPr/>
      </w:pPr>
      <w:r>
        <w:rPr>
          <w:rFonts w:eastAsia="Arial" w:cs="Arial" w:ascii="Arial" w:hAnsi="Arial"/>
          <w:b/>
          <w:bCs/>
          <w:sz w:val="24"/>
          <w:szCs w:val="24"/>
        </w:rPr>
        <w:t>Skills &amp; Expertise Tags (TBD — Starter Values)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Startup Formation | Business Plan Writing | Pitch Deck Development | Financial Modeling | QuickBooks / Bookkeeping | Grant Writing | SBA Loans | Angel &amp; Venture Capital | Crowdfunding | SEO &amp; Digital Marketing | Social Media Strategy | Brand Development | Contract Negotiation | Intellectual Property | HR Policies &amp; Procedures | Hiring &amp; Recruiting | Leadership Coaching | Franchise Development | Exit Planning &amp; Business Sale | Import / Export Compliance | Website Development | CRM &amp; Sales Automation | Data Analytics | Cybersecurity Basics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Contact entity (mentor profile). Multi-select.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TBD — values must be reviewed and confirmed by CBM leadership before go-live.</w:t>
            </w:r>
          </w:p>
        </w:tc>
      </w:tr>
    </w:tbl>
    <w:p>
      <w:pPr>
        <w:pStyle w:val="Normal"/>
        <w:rPr/>
      </w:pPr>
      <w:r>
        <w:rPr/>
      </w:r>
    </w:p>
    <w:p>
      <w:pPr>
        <w:pStyle w:val="Heading3"/>
        <w:rPr/>
      </w:pPr>
      <w:r>
        <w:rPr>
          <w:rFonts w:eastAsia="Arial" w:cs="Arial" w:ascii="Arial" w:hAnsi="Arial"/>
          <w:b/>
          <w:bCs/>
          <w:sz w:val="24"/>
          <w:szCs w:val="24"/>
        </w:rPr>
        <w:t>Fluent Languages (TBD — Starter Values)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English | Spanish | Arabic | Chinese (Mandarin) | Chinese (Cantonese) | French | German | Hindi | Italian | Japanese | Korean | Polish | Portuguese | Russian | Somali | Tagalog | Ukrainian | Vietnamese | Other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Contact entity (mentor profile). Multi-select.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TBD — values must be reviewed and confirmed by CBM leadership before go-live.</w:t>
            </w:r>
          </w:p>
        </w:tc>
      </w:tr>
    </w:tbl>
    <w:p>
      <w:pPr>
        <w:pStyle w:val="Normal"/>
        <w:rPr/>
      </w:pPr>
      <w:r>
        <w:rPr/>
      </w:r>
    </w:p>
    <w:p>
      <w:pPr>
        <w:pStyle w:val="Heading3"/>
        <w:rPr/>
      </w:pPr>
      <w:r>
        <w:rPr>
          <w:rFonts w:eastAsia="Arial" w:cs="Arial" w:ascii="Arial" w:hAnsi="Arial"/>
          <w:b/>
          <w:bCs/>
          <w:sz w:val="24"/>
          <w:szCs w:val="24"/>
        </w:rPr>
        <w:t>How Did You Hear About CBM (TBD — Starter Values)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CBM Website | Google Search | Social Media | Referred by a Mentor | Referred by a Client | Chamber of Commerce | SBDC / SCORE | Community Organization | University / College | Event or Workshop | News / Media | Other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Contact entity (mentor profile). Dropdown.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TBD — values must be reviewed and confirmed by CBM leadership before go-live.</w:t>
            </w:r>
          </w:p>
        </w:tc>
      </w:tr>
    </w:tbl>
    <w:p>
      <w:pPr>
        <w:pStyle w:val="Normal"/>
        <w:rPr/>
      </w:pPr>
      <w:r>
        <w:rPr/>
      </w:r>
    </w:p>
    <w:p>
      <w:pPr>
        <w:pStyle w:val="Heading3"/>
        <w:rPr/>
      </w:pPr>
      <w:r>
        <w:rPr>
          <w:rFonts w:eastAsia="Arial" w:cs="Arial" w:ascii="Arial" w:hAnsi="Arial"/>
          <w:b/>
          <w:bCs/>
          <w:sz w:val="24"/>
          <w:szCs w:val="24"/>
        </w:rPr>
        <w:t>Dues Status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Unpaid | Paid | Waived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Contact entity (mentor contacts). Admin-only.</w:t>
            </w:r>
          </w:p>
        </w:tc>
      </w:tr>
    </w:tbl>
    <w:p>
      <w:pPr>
        <w:pStyle w:val="Normal"/>
        <w:rPr/>
      </w:pPr>
      <w:r>
        <w:rPr/>
      </w:r>
    </w:p>
    <w:p>
      <w:pPr>
        <w:pStyle w:val="Heading3"/>
        <w:rPr/>
      </w:pPr>
      <w:r>
        <w:rPr>
          <w:rFonts w:eastAsia="Arial" w:cs="Arial" w:ascii="Arial" w:hAnsi="Arial"/>
          <w:b/>
          <w:bCs/>
          <w:sz w:val="24"/>
          <w:szCs w:val="24"/>
        </w:rPr>
        <w:t>Departure Reason</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Relocated | Career Change | Time Constraints | Personal | Other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Contact entity (mentor contacts). Admin-only. Shown only when Mentor Status = Departed.</w:t>
            </w:r>
          </w:p>
        </w:tc>
      </w:tr>
    </w:tbl>
    <w:p>
      <w:pPr>
        <w:pStyle w:val="Normal"/>
        <w:rPr/>
      </w:pPr>
      <w:r>
        <w:rPr/>
      </w:r>
    </w:p>
    <w:p>
      <w:pPr>
        <w:pStyle w:val="Heading2"/>
        <w:rPr/>
      </w:pPr>
      <w:r>
        <w:rPr>
          <w:rFonts w:eastAsia="Arial" w:cs="Arial" w:ascii="Arial" w:hAnsi="Arial"/>
          <w:b/>
          <w:bCs/>
          <w:sz w:val="28"/>
          <w:szCs w:val="28"/>
        </w:rPr>
        <w:t>2.3 Engagement Fields</w:t>
      </w:r>
    </w:p>
    <w:p>
      <w:pPr>
        <w:pStyle w:val="Normal"/>
        <w:rPr/>
      </w:pPr>
      <w:r>
        <w:rPr/>
      </w:r>
    </w:p>
    <w:p>
      <w:pPr>
        <w:pStyle w:val="Heading3"/>
        <w:rPr/>
      </w:pPr>
      <w:r>
        <w:rPr>
          <w:rFonts w:eastAsia="Arial" w:cs="Arial" w:ascii="Arial" w:hAnsi="Arial"/>
          <w:b/>
          <w:bCs/>
          <w:sz w:val="24"/>
          <w:szCs w:val="24"/>
        </w:rPr>
        <w:t>Engagement Status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 xml:space="preserve">Submitted | Pending Acceptance | Assigned | </w:t>
            </w:r>
            <w:r>
              <w:rPr>
                <w:rFonts w:eastAsia="Arial" w:cs="Arial"/>
                <w:b w:val="false"/>
                <w:bCs w:val="false"/>
                <w:color w:val="000000"/>
                <w:sz w:val="18"/>
                <w:szCs w:val="18"/>
              </w:rPr>
              <w:t xml:space="preserve">Mentor Declined | </w:t>
            </w:r>
            <w:r>
              <w:rPr>
                <w:rFonts w:eastAsia="Arial" w:cs="Arial"/>
                <w:b w:val="false"/>
                <w:bCs w:val="false"/>
                <w:color w:val="000000"/>
                <w:sz w:val="18"/>
                <w:szCs w:val="18"/>
              </w:rPr>
              <w:t>Active | On-Hold | Dormant | Inactive | Abandoned | Completed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Engagement entity. Required.</w:t>
            </w:r>
          </w:p>
        </w:tc>
      </w:tr>
    </w:tbl>
    <w:p>
      <w:pPr>
        <w:pStyle w:val="Normal"/>
        <w:rPr/>
      </w:pPr>
      <w:r>
        <w:rPr/>
      </w:r>
    </w:p>
    <w:p>
      <w:pPr>
        <w:pStyle w:val="Heading3"/>
        <w:rPr/>
      </w:pPr>
      <w:r>
        <w:rPr>
          <w:rFonts w:eastAsia="Arial" w:cs="Arial" w:ascii="Arial" w:hAnsi="Arial"/>
          <w:b/>
          <w:bCs/>
          <w:sz w:val="24"/>
          <w:szCs w:val="24"/>
        </w:rPr>
        <w:t>Engagement Close Reason</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Goals Achieved | Client Withdrew | Inactive / No Response | Other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Engagement entity. Required when status is Completed or Abandoned.</w:t>
            </w:r>
          </w:p>
        </w:tc>
      </w:tr>
    </w:tbl>
    <w:p>
      <w:pPr>
        <w:pStyle w:val="Normal"/>
        <w:rPr/>
      </w:pPr>
      <w:r>
        <w:rPr/>
      </w:r>
    </w:p>
    <w:p>
      <w:pPr>
        <w:pStyle w:val="Heading3"/>
        <w:rPr/>
      </w:pPr>
      <w:r>
        <w:rPr>
          <w:rFonts w:eastAsia="Arial" w:cs="Arial" w:ascii="Arial" w:hAnsi="Arial"/>
          <w:b/>
          <w:bCs/>
          <w:sz w:val="24"/>
          <w:szCs w:val="24"/>
        </w:rPr>
        <w:t>Meeting Cadence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Weekly | Bi-Weekly | Monthly | As Needed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Engagement entity. Required. Drives cadence-aware inactivity monitoring thresholds.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Thresholds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Weekly = 14 days | Bi-Weekly = 21 days | Monthly = 45 days | As Needed = 60 days</w:t>
            </w:r>
          </w:p>
        </w:tc>
      </w:tr>
    </w:tbl>
    <w:p>
      <w:pPr>
        <w:pStyle w:val="Normal"/>
        <w:rPr/>
      </w:pPr>
      <w:r>
        <w:rPr/>
      </w:r>
    </w:p>
    <w:p>
      <w:pPr>
        <w:pStyle w:val="Heading2"/>
        <w:rPr/>
      </w:pPr>
      <w:r>
        <w:rPr>
          <w:rFonts w:eastAsia="Arial" w:cs="Arial" w:ascii="Arial" w:hAnsi="Arial"/>
          <w:b/>
          <w:bCs/>
          <w:sz w:val="28"/>
          <w:szCs w:val="28"/>
        </w:rPr>
        <w:t>2.4 Session Fields</w:t>
      </w:r>
    </w:p>
    <w:p>
      <w:pPr>
        <w:pStyle w:val="Normal"/>
        <w:rPr/>
      </w:pPr>
      <w:r>
        <w:rPr/>
      </w:r>
    </w:p>
    <w:p>
      <w:pPr>
        <w:pStyle w:val="Heading3"/>
        <w:rPr/>
      </w:pPr>
      <w:r>
        <w:rPr>
          <w:rFonts w:eastAsia="Arial" w:cs="Arial" w:ascii="Arial" w:hAnsi="Arial"/>
          <w:b/>
          <w:bCs/>
          <w:sz w:val="24"/>
          <w:szCs w:val="24"/>
        </w:rPr>
        <w:t>Session Type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In-Person | Video Call | Phone Call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Session entity. Required.</w:t>
            </w:r>
          </w:p>
        </w:tc>
      </w:tr>
    </w:tbl>
    <w:p>
      <w:pPr>
        <w:pStyle w:val="Normal"/>
        <w:rPr/>
      </w:pPr>
      <w:r>
        <w:rPr/>
      </w:r>
    </w:p>
    <w:p>
      <w:pPr>
        <w:pStyle w:val="Heading3"/>
        <w:rPr/>
      </w:pPr>
      <w:r>
        <w:rPr>
          <w:rFonts w:eastAsia="Arial" w:cs="Arial" w:ascii="Arial" w:hAnsi="Arial"/>
          <w:b/>
          <w:bCs/>
          <w:sz w:val="24"/>
          <w:szCs w:val="24"/>
        </w:rPr>
        <w:t>Meeting Location Type</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CBM Office | Client's Place of Business | Other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Session entity. Shown only when Session Type = In-Person. Required when In-Person.</w:t>
            </w:r>
          </w:p>
        </w:tc>
      </w:tr>
    </w:tbl>
    <w:p>
      <w:pPr>
        <w:pStyle w:val="Normal"/>
        <w:rPr/>
      </w:pPr>
      <w:r>
        <w:rPr/>
      </w:r>
    </w:p>
    <w:p>
      <w:pPr>
        <w:pStyle w:val="Heading3"/>
        <w:rPr/>
      </w:pPr>
      <w:r>
        <w:rPr>
          <w:rFonts w:eastAsia="Arial" w:cs="Arial" w:ascii="Arial" w:hAnsi="Arial"/>
          <w:b/>
          <w:bCs/>
          <w:sz w:val="24"/>
          <w:szCs w:val="24"/>
        </w:rPr>
        <w:t>Topics Covered (TBD — Starter Values)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Business Planning | Marketing Strategy | Financial Review | Sales &amp; Revenue Growth | Operations &amp; Processes | HR &amp; Staffing | Legal &amp; Compliance | Technology &amp; Systems | Funding &amp; Capital | Customer Discovery | Product / Service Development | Partnerships &amp; Networking | Goal Setting &amp; Accountability | Crisis &amp; Problem Solving | Other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Session entity. Multi-select.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Note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TBD — values must be reviewed and confirmed by CBM leadership before go-live.</w:t>
            </w:r>
          </w:p>
        </w:tc>
      </w:tr>
    </w:tbl>
    <w:p>
      <w:pPr>
        <w:pStyle w:val="Normal"/>
        <w:rPr/>
      </w:pPr>
      <w:r>
        <w:rPr/>
      </w:r>
    </w:p>
    <w:p>
      <w:pPr>
        <w:pStyle w:val="Heading2"/>
        <w:rPr/>
      </w:pPr>
      <w:r>
        <w:rPr>
          <w:rFonts w:eastAsia="Arial" w:cs="Arial" w:ascii="Arial" w:hAnsi="Arial"/>
          <w:b/>
          <w:bCs/>
          <w:sz w:val="28"/>
          <w:szCs w:val="28"/>
        </w:rPr>
        <w:t>2.5 NPS Survey Fields</w:t>
      </w:r>
    </w:p>
    <w:p>
      <w:pPr>
        <w:pStyle w:val="Normal"/>
        <w:rPr/>
      </w:pPr>
      <w:r>
        <w:rPr/>
      </w:r>
    </w:p>
    <w:p>
      <w:pPr>
        <w:pStyle w:val="Heading3"/>
        <w:rPr/>
      </w:pPr>
      <w:r>
        <w:rPr>
          <w:rFonts w:eastAsia="Arial" w:cs="Arial" w:ascii="Arial" w:hAnsi="Arial"/>
          <w:b/>
          <w:bCs/>
          <w:sz w:val="24"/>
          <w:szCs w:val="24"/>
        </w:rPr>
        <w:t>Survey Trigger</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2nd Session | Every 5 Sessions | Engagement Close</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NPS Survey Response entity. System-populated. Read-only.</w:t>
            </w:r>
          </w:p>
        </w:tc>
      </w:tr>
    </w:tbl>
    <w:p>
      <w:pPr>
        <w:pStyle w:val="Normal"/>
        <w:rPr/>
      </w:pPr>
      <w:r>
        <w:rPr/>
      </w:r>
    </w:p>
    <w:p>
      <w:pPr>
        <w:pStyle w:val="Heading2"/>
        <w:rPr/>
      </w:pPr>
      <w:r>
        <w:rPr>
          <w:rFonts w:eastAsia="Arial" w:cs="Arial" w:ascii="Arial" w:hAnsi="Arial"/>
          <w:b/>
          <w:bCs/>
          <w:sz w:val="28"/>
          <w:szCs w:val="28"/>
        </w:rPr>
        <w:t>2.6 Workshop Fields</w:t>
      </w:r>
    </w:p>
    <w:p>
      <w:pPr>
        <w:pStyle w:val="Normal"/>
        <w:rPr/>
      </w:pPr>
      <w:r>
        <w:rPr/>
      </w:r>
    </w:p>
    <w:p>
      <w:pPr>
        <w:pStyle w:val="Heading3"/>
        <w:rPr/>
      </w:pPr>
      <w:r>
        <w:rPr>
          <w:rFonts w:eastAsia="Arial" w:cs="Arial" w:ascii="Arial" w:hAnsi="Arial"/>
          <w:b/>
          <w:bCs/>
          <w:sz w:val="24"/>
          <w:szCs w:val="24"/>
        </w:rPr>
        <w:t>Workshop Status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Scheduled | Completed | Cancelled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Workshop entity. Required.</w:t>
            </w:r>
          </w:p>
        </w:tc>
      </w:tr>
    </w:tbl>
    <w:p>
      <w:pPr>
        <w:pStyle w:val="Normal"/>
        <w:rPr/>
      </w:pPr>
      <w:r>
        <w:rPr/>
      </w:r>
    </w:p>
    <w:p>
      <w:pPr>
        <w:pStyle w:val="Heading2"/>
        <w:rPr/>
      </w:pPr>
      <w:r>
        <w:rPr>
          <w:rFonts w:eastAsia="Arial" w:cs="Arial" w:ascii="Arial" w:hAnsi="Arial"/>
          <w:b/>
          <w:bCs/>
          <w:sz w:val="28"/>
          <w:szCs w:val="28"/>
        </w:rPr>
        <w:t>2.7 Dues Fields</w:t>
      </w:r>
    </w:p>
    <w:p>
      <w:pPr>
        <w:pStyle w:val="Normal"/>
        <w:rPr/>
      </w:pPr>
      <w:r>
        <w:rPr/>
      </w:r>
    </w:p>
    <w:p>
      <w:pPr>
        <w:pStyle w:val="Heading3"/>
        <w:rPr/>
      </w:pPr>
      <w:r>
        <w:rPr>
          <w:rFonts w:eastAsia="Arial" w:cs="Arial" w:ascii="Arial" w:hAnsi="Arial"/>
          <w:b/>
          <w:bCs/>
          <w:sz w:val="24"/>
          <w:szCs w:val="24"/>
        </w:rPr>
        <w:t>Payment Method</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Stripe | Waived | Other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Used 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Dues entity. Optional.</w:t>
            </w:r>
          </w:p>
        </w:tc>
      </w:tr>
    </w:tbl>
    <w:p>
      <w:pPr>
        <w:pStyle w:val="Normal"/>
        <w:rPr/>
      </w:pPr>
      <w:r>
        <w:rPr/>
      </w:r>
    </w:p>
    <w:p>
      <w:pPr>
        <w:pStyle w:val="Heading1"/>
        <w:rPr/>
      </w:pPr>
      <w:r>
        <w:rPr>
          <w:rFonts w:eastAsia="Arial" w:cs="Arial" w:ascii="Arial" w:hAnsi="Arial"/>
          <w:b/>
          <w:bCs/>
          <w:sz w:val="32"/>
          <w:szCs w:val="32"/>
        </w:rPr>
        <w:t>3. Implementation Phases</w:t>
      </w:r>
    </w:p>
    <w:p>
      <w:pPr>
        <w:pStyle w:val="Normal"/>
        <w:spacing w:before="0" w:after="120"/>
        <w:rPr/>
      </w:pPr>
      <w:r>
        <w:rPr>
          <w:rFonts w:eastAsia="Arial" w:cs="Arial"/>
          <w:sz w:val="18"/>
          <w:szCs w:val="18"/>
        </w:rPr>
        <w:t>Complete all phases in sequence. Each phase depends on the entities and configuration established in the previous phase. Do not skip ahead.</w:t>
      </w:r>
    </w:p>
    <w:p>
      <w:pPr>
        <w:pStyle w:val="Normal"/>
        <w:rPr/>
      </w:pPr>
      <w:r>
        <w:rPr/>
      </w:r>
    </w:p>
    <w:p>
      <w:pPr>
        <w:pStyle w:val="Heading2"/>
        <w:rPr/>
      </w:pPr>
      <w:r>
        <w:rPr>
          <w:rFonts w:eastAsia="Arial" w:cs="Arial" w:ascii="Arial" w:hAnsi="Arial"/>
          <w:b/>
          <w:bCs/>
          <w:sz w:val="28"/>
          <w:szCs w:val="28"/>
        </w:rPr>
        <w:t>Phase 1: Shared Platform Entities</w:t>
      </w:r>
    </w:p>
    <w:p>
      <w:pPr>
        <w:pStyle w:val="Normal"/>
        <w:rPr/>
      </w:pPr>
      <w:r>
        <w:rPr/>
      </w:r>
    </w:p>
    <w:p>
      <w:pPr>
        <w:pStyle w:val="Normal"/>
        <w:spacing w:before="0" w:after="120"/>
        <w:rPr/>
      </w:pPr>
      <w:r>
        <w:rPr>
          <w:rFonts w:eastAsia="Arial" w:cs="Arial"/>
          <w:sz w:val="18"/>
          <w:szCs w:val="18"/>
        </w:rPr>
        <w:t>Create the shared entities used across all CBM CRM domains. These must exist before any domain-specific entities are configured.</w:t>
      </w:r>
    </w:p>
    <w:p>
      <w:pPr>
        <w:pStyle w:val="ListParagraph"/>
        <w:numPr>
          <w:ilvl w:val="0"/>
          <w:numId w:val="3"/>
        </w:numPr>
        <w:spacing w:before="0" w:after="60"/>
        <w:rPr/>
      </w:pPr>
      <w:r>
        <w:rPr>
          <w:rFonts w:eastAsia="Arial" w:cs="Arial"/>
          <w:sz w:val="18"/>
          <w:szCs w:val="18"/>
        </w:rPr>
        <w:t xml:space="preserve">☐ </w:t>
      </w:r>
      <w:r>
        <w:rPr>
          <w:rFonts w:eastAsia="Arial" w:cs="Arial"/>
          <w:sz w:val="18"/>
          <w:szCs w:val="18"/>
        </w:rPr>
        <w:t>Create the Note entity with fields: Title (text, required), Body (rich text, required), Internal Only (boolean, default false), Created By (system-populated), Created Date/Time (system-populated).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Comment entity with fields: Note (link to Note entity, required), Body (rich text, required), Created By (system-populated), Created Date/Time (system-populated).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Comment as a child relationship of Note (one Note, many Comments).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Document entity with fields: Title (text, required), Document Type (dropdown: Contract | Agreement | Report | Reference | Other), Description (rich text, optional), File Attachment (file upload), External URL (URL, optional), Internal Only (boolean, default false), Created By (system-populated), Created Date/Time (system-populated).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Internal Only field-level access on Note and Document entities: when Internal Only = Yes, hide the record from all non-Admin roles.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a "My Notes" global search preset on the Note entity filtered by Created By = current user, sorted by Created Date/Time descending.</w:t>
      </w:r>
    </w:p>
    <w:p>
      <w:pPr>
        <w:pStyle w:val="Normal"/>
        <w:rPr/>
      </w:pPr>
      <w:r>
        <w:rPr/>
      </w:r>
    </w:p>
    <w:p>
      <w:pPr>
        <w:pStyle w:val="Heading2"/>
        <w:rPr/>
      </w:pPr>
      <w:r>
        <w:rPr>
          <w:rFonts w:eastAsia="Arial" w:cs="Arial" w:ascii="Arial" w:hAnsi="Arial"/>
          <w:b/>
          <w:bCs/>
          <w:sz w:val="28"/>
          <w:szCs w:val="28"/>
        </w:rPr>
        <w:t>Phase 2: Company Entity</w:t>
      </w:r>
    </w:p>
    <w:p>
      <w:pPr>
        <w:pStyle w:val="Normal"/>
        <w:rPr/>
      </w:pPr>
      <w:r>
        <w:rPr/>
      </w:r>
    </w:p>
    <w:p>
      <w:pPr>
        <w:pStyle w:val="Normal"/>
        <w:spacing w:before="0" w:after="120"/>
        <w:rPr/>
      </w:pPr>
      <w:r>
        <w:rPr>
          <w:rFonts w:eastAsia="Arial" w:cs="Arial"/>
          <w:sz w:val="18"/>
          <w:szCs w:val="18"/>
        </w:rPr>
        <w:t>Configure the Company entity (EspoCRM's native Account entity, relabeled). All dropdown values must be configured in EspoCRM before adding fields that use them — refer to Section 2 for all values.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Relabel the Account entity display name to "Company" throughout the EspoCRM UI via Entity Manager label settings.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Organization Type. Values: For-Profit | Non-Profit.</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Company Role. Values: Client Company | Mentoring Company | Partner Company | Sponsor Company | Vendor Company.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Business Stage. Values: Pre-Startup | Startup | Early Stage | Growth Stage | Established.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Revenue Range. Values per Section 2.1.</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Time in Operation. Values per Section 2.1.</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Legal Business Structure. Values per Section 2.1.</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multi-select: Professional Advisors. Values per Section 2.1.</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NAICS Sector (20 values per Section 2.1).</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NAICS Subsector (~100 values, filtered by NAICS Sector). Configure Dynamic Logic to filter subsector options based on selected sector.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multi-select: Mentoring Focus Areas. Values per Section 2.1 (TBD — confirm with CBM leadership before go-live).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Phase 1 fields: Organization Type, Company Role, Business Stage, NAICS Sector, NAICS Subsector, Mentoring Focus Areas (all dropdown/multi-select as configured above), Mentoring Needs Description (rich text,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Phase 2 fields: Business Description (rich text), Time in Operation (dropdown), Current Team Size (integer), Revenue Range (dropdown), Funding Situation (rich text), Current Challenges (rich text), Goals and Objectives (rich text), Desired Outcomes 6-12 Months (rich text), Previous Mentoring/Advisory Experience (rich text), Current Professional Advisors (multi-select), Registered with State (boolean), State of Registration (dropdown of US states), Legal Business Structure (dropdown), EIN on File (boolean), Date of Formation (date), Registered Agent (boolean), EIN Number (text, restricted).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Dynamic Logic: show State of Registration, Legal Business Structure, EIN on File, Date of Formation, Registered Agent, and EIN Number only when Registered with State = Yes.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field-level access: EIN Number visible to Admin and Primary Mentor roles 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Organize Company detail view into panels: Contact Information, Business Classification, Mentoring Context (Phase 1), Business Detail (Phase 2), Professional Advisors, Business Registration.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Phase 2 panel as collapsible and labeled as post-assignment information.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Note, Document, Email, and Calls relationship panels to the Company detail view.</w:t>
      </w:r>
    </w:p>
    <w:p>
      <w:pPr>
        <w:pStyle w:val="Normal"/>
        <w:rPr/>
      </w:pPr>
      <w:r>
        <w:rPr/>
      </w:r>
    </w:p>
    <w:p>
      <w:pPr>
        <w:pStyle w:val="Heading2"/>
        <w:rPr/>
      </w:pPr>
      <w:r>
        <w:rPr>
          <w:rFonts w:eastAsia="Arial" w:cs="Arial" w:ascii="Arial" w:hAnsi="Arial"/>
          <w:b/>
          <w:bCs/>
          <w:sz w:val="28"/>
          <w:szCs w:val="28"/>
        </w:rPr>
        <w:t>Phase 3: Contact Entity</w:t>
      </w:r>
    </w:p>
    <w:p>
      <w:pPr>
        <w:pStyle w:val="Normal"/>
        <w:rPr/>
      </w:pPr>
      <w:r>
        <w:rPr/>
      </w:r>
    </w:p>
    <w:p>
      <w:pPr>
        <w:pStyle w:val="Normal"/>
        <w:spacing w:before="0" w:after="120"/>
        <w:rPr/>
      </w:pPr>
      <w:r>
        <w:rPr>
          <w:rFonts w:eastAsia="Arial" w:cs="Arial"/>
          <w:sz w:val="18"/>
          <w:szCs w:val="18"/>
        </w:rPr>
        <w:t>The Contact entity serves both client contacts and mentor contacts. All fields are added to the same entity; Dynamic Logic panels control which fields are visible based on Contact Type.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Verify native Contact fields are present: First Name, Last Name, Email, Phone.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Middle Name field (text,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Preferred Name field (text,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Personal Email field (email, optional). Mentor-specific: the mentor's personal email prior to CBM Gmail activation.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CBM Gmail Address field (email, optional). Admin-populated. Read-only for Mentor role.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LinkedIn Profile field (URL,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Role at Business field (text, optional). Client-specific.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Primary Contact field (boolean, default true for first contact on a Company). Client-specific.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Professional Title field (text, optional).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Current Employer field (text, optional).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Currently Employed field (boolean, optional).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Years of Business Experience field (integer, optional).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Professional Bio / Work Experience field (rich text, optional).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NAICS Sectors (multi-select, same values as Company NAICS Sector).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multi-select: Mentoring Focus Areas (same values as Company).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multi-select: Skills &amp; Expertise Tags. Values per Section 2.2 (TBD — confirm before go-live).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multi-select: Fluent Languages. Values per Section 2.2 (TBD — confirm before go-live).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Why Interested in Mentoring field (rich text, optional).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How Did You Hear About CBM. Values per Section 2.2 (TBD — confirm before go-live).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Is Mentor field (boolean, required).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Is Co-Mentor field (boolean, required).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Is SME field (boolean, required).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Mentor Status. Values: Submitted | Provisional | Declined | Active | Inactive | Departed.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Accepting New Clients field (boolean, required, mentor-editable).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Maximum Client Capacity field (integer, required, mentor-editable).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Current Active Clients field (integer, formula field). Configure formula: count of linked Engagements where this Contact is Assigned Mentor and Engagement status is Active or Assigned. Read-only.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Available Capacity field (integer, formula field). Configure formula: Maximum Client Capacity minus Current Active Clients. Read-only.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Ethics Agreement Accepted field (boolean, admin-only).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Ethics Agreement Acceptance Date/Time field (date/time, admin-only).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Terms &amp; Conditions Accepted field (boolean, admin-only, system-populated from form).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Terms &amp; Conditions Acceptance Date/Time field (date/time, admin-only, system-populated).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Background Check Completed field (boolean, admin-only, hidden from Mentor).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Background Check Date field (date, admin-only, hidden from Mentor).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Felony Conviction field (boolean, admin-only, restricted, hidden from Mentor).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Moodle Training Completed field (boolean, system-populated, read-only).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Moodle Completion Date field (date, system-populated, read-only).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Dues Status. Values: Unpaid | Paid | Waived. Admin-only.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Dues Payment Date field (date, admin-only).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Departure Reason. Values: Relocated | Career Change | Time Constraints | Personal | Other. Admin-only.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Departure Date field (date, admin-only). Mentor-specific.</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Organize Contact detail view into panels: Personal Information (all contacts), Client Details (client-specific, shown when Contact Type = Client), Mentor Identity &amp; Contact (mentor-specific), Mentor Biographical &amp; Professional, Mentor Skills &amp; Expertise, Mentor Role &amp; Capacity, Mentor Administrative.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Dynamic Logic: show Client Details panel only when Contact Type = Client.</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Dynamic Logic: show all Mentor panels only when Contact Type = Mentor.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Dynamic Logic: show Departure Reason and Departure Date only when Mentor Status = Departed.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field-level access per CBM-PRD-CRM-Mentor.docx Section 5.2: Administrative fields read-only or hidden for Mentor role.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Note, Document, Email, and Calls relationship panels to the Contact detail view.</w:t>
      </w:r>
    </w:p>
    <w:p>
      <w:pPr>
        <w:pStyle w:val="Normal"/>
        <w:rPr/>
      </w:pPr>
      <w:r>
        <w:rPr/>
      </w:r>
    </w:p>
    <w:p>
      <w:pPr>
        <w:pStyle w:val="Heading2"/>
        <w:rPr/>
      </w:pPr>
      <w:r>
        <w:rPr>
          <w:rFonts w:eastAsia="Arial" w:cs="Arial" w:ascii="Arial" w:hAnsi="Arial"/>
          <w:b/>
          <w:bCs/>
          <w:sz w:val="28"/>
          <w:szCs w:val="28"/>
        </w:rPr>
        <w:t>Phase 4: Engagement Entity</w:t>
      </w:r>
    </w:p>
    <w:p>
      <w:pPr>
        <w:pStyle w:val="Normal"/>
        <w:rPr/>
      </w:pPr>
      <w:r>
        <w:rPr/>
      </w:r>
    </w:p>
    <w:p>
      <w:pPr>
        <w:pStyle w:val="Normal"/>
        <w:spacing w:before="0" w:after="120"/>
        <w:rPr/>
      </w:pPr>
      <w:r>
        <w:rPr>
          <w:rFonts w:eastAsia="Arial" w:cs="Arial"/>
          <w:sz w:val="18"/>
          <w:szCs w:val="18"/>
        </w:rPr>
        <w:t>Create the Engagement entity as a custom entity. It does not exist natively in EspoCRM and must be built from scratch via Entity Manager.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Engagement custom entity.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Engagement Status. Values: Submitted | Declined | Pending Acceptance | Assigned | Active | On-Hold | Dormant | Inactive | Abandoned | Completed.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Engagement Close Reason. Values: Goals Achieved | Client Withdrew | Inactive / No Response | Other.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Meeting Cadence. Values: Weekly | Bi-Weekly | Monthly | As Needed.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Status field (dropdown,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Start Date field (date, system-populated on status change to Active).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Close Date field (date, system-populated on status change to Completed or Abandoned).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Assigned Mentor field (link to Contact entity).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Meeting Cadence field (dropdown,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Engagement Close Reason field (dropdown, required when Completed or Abandoned).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Total Sessions formula field (integer, count of linked Session records, read-only).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Total Sessions Last 30 Days formula field (integer, count of Sessions in last 30 days, read-only).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Last Session Date formula field (date, most recent linked Session date, read-only).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Total Session Hours formula field (decimal, sum of Session Duration in hours, read-only).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Next Session Date/Time field (date/time, editable by mentor and admin).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Organize Engagement detail view into panels: Engagement Details, Mentor Assignment, Analytics Summary.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Note, Document, Email, and Calls relationship panels to the Engagement detail view.</w:t>
      </w:r>
    </w:p>
    <w:p>
      <w:pPr>
        <w:pStyle w:val="Normal"/>
        <w:rPr/>
      </w:pPr>
      <w:r>
        <w:rPr/>
      </w:r>
    </w:p>
    <w:p>
      <w:pPr>
        <w:pStyle w:val="Heading2"/>
        <w:rPr/>
      </w:pPr>
      <w:r>
        <w:rPr>
          <w:rFonts w:eastAsia="Arial" w:cs="Arial" w:ascii="Arial" w:hAnsi="Arial"/>
          <w:b/>
          <w:bCs/>
          <w:sz w:val="28"/>
          <w:szCs w:val="28"/>
        </w:rPr>
        <w:t>Phase 5: Session Entity</w:t>
      </w:r>
    </w:p>
    <w:p>
      <w:pPr>
        <w:pStyle w:val="Normal"/>
        <w:rPr/>
      </w:pPr>
      <w:r>
        <w:rPr/>
      </w:r>
    </w:p>
    <w:p>
      <w:pPr>
        <w:pStyle w:val="Normal"/>
        <w:spacing w:before="0" w:after="120"/>
        <w:rPr/>
      </w:pPr>
      <w:r>
        <w:rPr>
          <w:rFonts w:eastAsia="Arial" w:cs="Arial"/>
          <w:sz w:val="18"/>
          <w:szCs w:val="18"/>
        </w:rPr>
        <w:t>Create the Session entity as a custom entity. Sessions are linked to Engagements and require at least one Mentoring Company contact in the Mentor Attendees panel before saving.</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Session custom entity.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Session Type. Values: In-Person | Video Call | Phone Call.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Meeting Location Type. Values: CBM Office | Client's Place of Business | Other.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multi-select: Topics Covered. Values per Section 2.4 (TBD — confirm before go-live).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Session Date/Time field (date/time,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Duration field (integer, minutes,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Session Type field (dropdown,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Meeting Location Type field (dropdown).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Location Details field (text,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Topics Covered field (multi-select dropdown).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Topics Covered Notes field (rich text,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Mentor Notes field (rich text, optional). Visible to assigned mentor and admin 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Next Steps field (rich text,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New Business Started field (boolean).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Next Session Date/Time field (date/time,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Dynamic Logic: show Meeting Location Type only when Session Type = In-Person.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Dynamic Logic: show Location Details only when Meeting Location Type = Other.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save validation rule: at least one Contact from a Mentoring Company (Company Role = Mentoring Company) must be present in the Mentor Attendees panel before the Session record can be saved.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Note and Document relationship panels to the Session detail view.</w:t>
      </w:r>
    </w:p>
    <w:p>
      <w:pPr>
        <w:pStyle w:val="Normal"/>
        <w:rPr/>
      </w:pPr>
      <w:r>
        <w:rPr/>
      </w:r>
    </w:p>
    <w:p>
      <w:pPr>
        <w:pStyle w:val="Heading2"/>
        <w:rPr/>
      </w:pPr>
      <w:r>
        <w:rPr>
          <w:rFonts w:eastAsia="Arial" w:cs="Arial" w:ascii="Arial" w:hAnsi="Arial"/>
          <w:b/>
          <w:bCs/>
          <w:sz w:val="28"/>
          <w:szCs w:val="28"/>
        </w:rPr>
        <w:t>Phase 6: NPS Survey Response Entity</w:t>
      </w:r>
    </w:p>
    <w:p>
      <w:pPr>
        <w:pStyle w:val="Normal"/>
        <w:rPr/>
      </w:pPr>
      <w:r>
        <w:rPr/>
      </w:r>
    </w:p>
    <w:p>
      <w:pPr>
        <w:pStyle w:val="Normal"/>
        <w:spacing w:before="0" w:after="120"/>
        <w:rPr/>
      </w:pPr>
      <w:r>
        <w:rPr>
          <w:rFonts w:eastAsia="Arial" w:cs="Arial"/>
          <w:sz w:val="18"/>
          <w:szCs w:val="18"/>
        </w:rPr>
        <w:t>Create the NPS Survey Response entity and configure the LimeSurvey integration for automated survey delivery.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NPS Survey Response custom entity.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Survey Trigger. Values: 2nd Session | Every 5 Sessions | Engagement Close. Read-only.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Survey Trigger field (dropdown, system-populated, read-only).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Survey Date/Time field (date/time, system-populated, read-only).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NPS Score field (integer, 0-10,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Did CBM Help You field (boolean,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I Would Return to See This Mentor Again field (integer, 1-5,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Mentor Listened and Understood My Needs field (integer, 1-5,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How Could CBM Better Meet Your Needs field (rich text,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Install and configure LimeSurvey (self-hosted on AWS).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Build the NPS survey in LimeSurvey with all defined questions.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LimeSurvey API connection to EspoCRM for response posting.</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end-to-end survey delivery and response capture before go-live.</w:t>
      </w:r>
    </w:p>
    <w:p>
      <w:pPr>
        <w:pStyle w:val="Normal"/>
        <w:rPr/>
      </w:pPr>
      <w:r>
        <w:rPr/>
      </w:r>
    </w:p>
    <w:p>
      <w:pPr>
        <w:pStyle w:val="Heading2"/>
        <w:rPr/>
      </w:pPr>
      <w:r>
        <w:rPr>
          <w:rFonts w:eastAsia="Arial" w:cs="Arial" w:ascii="Arial" w:hAnsi="Arial"/>
          <w:b/>
          <w:bCs/>
          <w:sz w:val="28"/>
          <w:szCs w:val="28"/>
        </w:rPr>
        <w:t>Phase 7: Workshop &amp; Workshop Attendance Entities</w:t>
      </w:r>
    </w:p>
    <w:p>
      <w:pPr>
        <w:pStyle w:val="Normal"/>
        <w:rPr/>
      </w:pPr>
      <w:r>
        <w:rPr/>
      </w:r>
    </w:p>
    <w:p>
      <w:pPr>
        <w:pStyle w:val="Normal"/>
        <w:spacing w:before="0" w:after="120"/>
        <w:rPr/>
      </w:pPr>
      <w:r>
        <w:rPr>
          <w:rFonts w:eastAsia="Arial" w:cs="Arial"/>
          <w:sz w:val="18"/>
          <w:szCs w:val="18"/>
        </w:rPr>
        <w:t>Create the Workshop and Workshop Attendance entities as custom entities.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Workshop Status. Values: Scheduled | Completed | Cancelled.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Workshop custom entity.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Title field (text,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Date/Time field (date/time,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Topic/Category field (dropdown, aligned with Mentoring Focus Areas values).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Presenter field (text or link to Contact,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Location field (text,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Description field (rich text,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Maximum Capacity field (integer,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Status field (dropdown,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Note and Document relationship panels to the Workshop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Workshop Attendance custom entity.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Workshop link field (link to Workshop entity,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Contact link field (link to Contact entity,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Engagement link field (link to Engagement entity,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Attendance Date field (date, auto-populated from linked Workshop, read-only).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Attended field (boolean, default Yes, required).</w:t>
      </w:r>
    </w:p>
    <w:p>
      <w:pPr>
        <w:pStyle w:val="Normal"/>
        <w:rPr/>
      </w:pPr>
      <w:r>
        <w:rPr/>
      </w:r>
    </w:p>
    <w:p>
      <w:pPr>
        <w:pStyle w:val="Heading2"/>
        <w:rPr/>
      </w:pPr>
      <w:r>
        <w:rPr>
          <w:rFonts w:eastAsia="Arial" w:cs="Arial" w:ascii="Arial" w:hAnsi="Arial"/>
          <w:b/>
          <w:bCs/>
          <w:sz w:val="28"/>
          <w:szCs w:val="28"/>
        </w:rPr>
        <w:t>Phase 8: Dues Entity</w:t>
      </w:r>
    </w:p>
    <w:p>
      <w:pPr>
        <w:pStyle w:val="Normal"/>
        <w:rPr/>
      </w:pPr>
      <w:r>
        <w:rPr/>
      </w:r>
    </w:p>
    <w:p>
      <w:pPr>
        <w:pStyle w:val="Normal"/>
        <w:spacing w:before="0" w:after="120"/>
        <w:rPr/>
      </w:pPr>
      <w:r>
        <w:rPr>
          <w:rFonts w:eastAsia="Arial" w:cs="Arial"/>
          <w:sz w:val="18"/>
          <w:szCs w:val="18"/>
        </w:rPr>
        <w:t>Create the Dues entity as a custom entity to track annual dues payment records for mentors.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dropdown: Payment Method. Values: Stripe | Waived | Other.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Dues custom entity.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Mentor field (link to Contact entity,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Billing Year field (integer,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Amount Due field (currency, required).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Invoice Date field (date,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Payment Date field (date,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Payment Method field (dropdown, optional).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Notes field (rich text, optional).</w:t>
      </w:r>
    </w:p>
    <w:p>
      <w:pPr>
        <w:pStyle w:val="Normal"/>
        <w:rPr/>
      </w:pPr>
      <w:r>
        <w:rPr/>
      </w:r>
    </w:p>
    <w:p>
      <w:pPr>
        <w:pStyle w:val="Heading2"/>
        <w:rPr/>
      </w:pPr>
      <w:r>
        <w:rPr>
          <w:rFonts w:eastAsia="Arial" w:cs="Arial" w:ascii="Arial" w:hAnsi="Arial"/>
          <w:b/>
          <w:bCs/>
          <w:sz w:val="28"/>
          <w:szCs w:val="28"/>
        </w:rPr>
        <w:t>Phase 9: Relationships</w:t>
      </w:r>
    </w:p>
    <w:p>
      <w:pPr>
        <w:pStyle w:val="Normal"/>
        <w:rPr/>
      </w:pPr>
      <w:r>
        <w:rPr/>
      </w:r>
    </w:p>
    <w:p>
      <w:pPr>
        <w:pStyle w:val="Normal"/>
        <w:spacing w:before="0" w:after="120"/>
        <w:rPr/>
      </w:pPr>
      <w:r>
        <w:rPr>
          <w:rFonts w:eastAsia="Arial" w:cs="Arial"/>
          <w:sz w:val="18"/>
          <w:szCs w:val="18"/>
        </w:rPr>
        <w:t>Configure all entity relationships and relationship panels. Verify each relationship displays correctly from both sides before proceeding to Phase 10.</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Company → Contact relationship (one-to-many). Add Contact panel to Company detail view. Verify Company link appears on Contact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Company → Engagement relationship (one-to-many). Add Engagement panel to Company detail view. Verify Company link appears on Engagement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Engagement → Session relationship (one-to-many). Add Session panel to Engagement detail view. Verify Engagement link appears on Session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Engagement → NPS Survey Response relationship (one-to-many). Add NPS Survey Response panel to Engagement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Contact → Workshop Attendance relationship (one-to-many). Add Workshop Attendance panel to Contact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Workshop → Workshop Attendance relationship (one-to-many). Add Workshop Attendance panel to Workshop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Engagement Contacts as a many-to-many relationship panel on the Engagement entity, linking to the Contact entity. Add panel to Engagement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Co-Mentor as a many-to-many relationship panel on the Engagement entity, linking to Contact records. Add panel to Engagement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SME as a many-to-many relationship panel on the Engagement entity, linking to Contact records. Add panel to Engagement detail view.</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Mentor Attendees as a many-to-many relationship panel on the Session entity, linking to Contact records where Company Role = Mentoring Company.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Session Attendees relationship panel to the Contact detail view, showing all Sessions where this Contact is listed as a Mentor Attendee.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Primary Mentor Engagements panel to the Contact detail view (Engagements where this Contact is Assigned Mentor).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Co-Mentor Engagements panel to the Contact detail view (Engagements where this Contact is Co-Mentor).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Add SME Engagements panel to the Contact detail view (Engagements where this Contact is SME).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Contact → Dues relationship (one-to-many). Add Dues panel to Contact detail view, sorted by Billing Year descending.</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Note many-to-many relationship panels on all entities: Company, Contact, Engagement, Session, NPS Survey Response, Workshop, Workshop Attendance.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Document many-to-many relationship panels on all entities: Company, Contact, Engagement, Session, NPS Survey Response, Workshop, Workshop Attendance.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Verify Email and Calls activity panels are present on Company, Contact, and Engagement detail views.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Verify all relationship panels display correctly from both sides.</w:t>
      </w:r>
    </w:p>
    <w:p>
      <w:pPr>
        <w:pStyle w:val="Normal"/>
        <w:rPr/>
      </w:pPr>
      <w:r>
        <w:rPr/>
      </w:r>
    </w:p>
    <w:p>
      <w:pPr>
        <w:pStyle w:val="Heading2"/>
        <w:rPr/>
      </w:pPr>
      <w:r>
        <w:rPr>
          <w:rFonts w:eastAsia="Arial" w:cs="Arial" w:ascii="Arial" w:hAnsi="Arial"/>
          <w:b/>
          <w:bCs/>
          <w:sz w:val="28"/>
          <w:szCs w:val="28"/>
        </w:rPr>
        <w:t>Phase 10: Role-Based Access Control</w:t>
      </w:r>
    </w:p>
    <w:p>
      <w:pPr>
        <w:pStyle w:val="Normal"/>
        <w:rPr/>
      </w:pPr>
      <w:r>
        <w:rPr/>
      </w:r>
    </w:p>
    <w:p>
      <w:pPr>
        <w:pStyle w:val="Normal"/>
        <w:spacing w:before="0" w:after="120"/>
        <w:rPr/>
      </w:pPr>
      <w:r>
        <w:rPr>
          <w:rFonts w:eastAsia="Arial" w:cs="Arial"/>
          <w:sz w:val="18"/>
          <w:szCs w:val="18"/>
        </w:rPr>
        <w:t>Configure EspoCRM Roles and Teams to enforce the access rules defined in the domain specifications. Test each role by logging in as a test user with that role assigned.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or verify the Admin role with full Create/Read/Update/Delete access across all entities.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Primary Mentor role with Own Read/Update on Company, Contact (own record only), and Engagement; Own Create/Read/Update on Session, Notes, and Documents; Own Read on NPS Survey Responses, Workshops, and Dues.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Co-Mentor role with the same permissions as Primary Mentor, scoped to assigned Engagements.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SME role with Own Read on Company, Contact, and Engagement; Own Create/Read/Update on Session, Notes, and Documents; Own Read on NPS Survey Responses.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the Board Member role with List-only Read on mentor Contact records. No access to individual Contact records, Engagement records, Session records, or Dues records.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field-level access on EIN Number: visible to Admin and Primary Mentor 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field-level access on Internal Only Note and Document records: Admin only.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field-level access on Mentor Administrative fields per CBM-PRD-CRM-Mentor.docx Section 5.2: Ethics Agreement, T&amp;C, Moodle, Dues Status, Dues Payment Date, CBM Gmail Address = read-only for Mentor role. Background Check, Felony Conviction, Departure fields = hidden from Mentor role.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Teams to enforce record-level visibility scoping: mentors see only records linked to their assigned Engagements; clients have no CRM access.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each role by logging in as a test user and verifying correct visibility, field-level access, and action permissions across all entity types.</w:t>
      </w:r>
    </w:p>
    <w:p>
      <w:pPr>
        <w:pStyle w:val="Normal"/>
        <w:rPr/>
      </w:pPr>
      <w:r>
        <w:rPr/>
      </w:r>
    </w:p>
    <w:p>
      <w:pPr>
        <w:pStyle w:val="Heading2"/>
        <w:rPr/>
      </w:pPr>
      <w:r>
        <w:rPr>
          <w:rFonts w:eastAsia="Arial" w:cs="Arial" w:ascii="Arial" w:hAnsi="Arial"/>
          <w:b/>
          <w:bCs/>
          <w:sz w:val="28"/>
          <w:szCs w:val="28"/>
        </w:rPr>
        <w:t>Phase 11: WordPress Forms</w:t>
      </w:r>
    </w:p>
    <w:p>
      <w:pPr>
        <w:pStyle w:val="Normal"/>
        <w:rPr/>
      </w:pPr>
      <w:r>
        <w:rPr/>
      </w:r>
    </w:p>
    <w:p>
      <w:pPr>
        <w:pStyle w:val="Normal"/>
        <w:spacing w:before="0" w:after="120"/>
        <w:rPr/>
      </w:pPr>
      <w:r>
        <w:rPr>
          <w:rFonts w:eastAsia="Arial" w:cs="Arial"/>
          <w:sz w:val="18"/>
          <w:szCs w:val="18"/>
        </w:rPr>
        <w:t>Build both intake forms in WordPress and configure the EspoCRM REST API integration for each. Test both forms end-to-end before go-live.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Verify the EspoCRM REST API is enabled and accessible from WordPress.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Build the Client Intake (Mentoring Request) form in WordPress. Fields: First Name, Last Name, Middle Name, Preferred Name, Email Address, Phone, Zip Code, Business Name, Website, Address, Organization Type, Company Role (pre-set to Client Company, hidden), Business Stage, NAICS Sector, NAICS Subsector (filtered by Sector), Mentoring Focus Areas, Mentoring Needs Description.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the Client Intake form to post to EspoCRM via REST API and create three linked records on submission: Company (business fields), Contact (personal fields, flagged Primary Contact = Yes), and Engagement (Status = Submitted).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admin notification on Client Intake form submission.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Build the Mentor Application form in WordPress. Fields: Why Are You Interested in Mentoring, First Name, Middle Name, Last Name, Preferred Name, Personal Email, Street Address, Phone, Professional Bio / Work Experience, LinkedIn Profile URL, Currently Employed, Industry Experience &amp; Expertise (NAICS Sectors multi-select), Mentoring Focus Areas, Skills &amp; Expertise Tags, Fluent Languages, How Did You Hear About CBM, Felony Conviction disclosure (yes/no), Terms &amp; Conditions acceptance (required checkbox).</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Terms &amp; Conditions checkbox as a required field. Form cannot be submitted without acceptance.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the Mentor Application form to post to EspoCRM via REST API and create a Contact record with: Contact Type = Mentor, Mentor Status = Submitted, Terms &amp; Conditions Accepted = Yes, Terms &amp; Conditions Acceptance Date/Time = submission timestamp.</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confirmation email on Mentor Application submission: send automated email to applicant's Personal Email acknowledging receipt and advising they will be contacted shortly.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admin notification on Mentor Application submission.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Client Intake form end-to-end: submit test application, verify Company, Contact, and Engagement records created correctly in EspoCRM, verify admin notification received.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Mentor Application form end-to-end: submit test application, verify Contact record created correctly with all fields, verify confirmation email received, verify admin notification received.</w:t>
      </w:r>
    </w:p>
    <w:p>
      <w:pPr>
        <w:pStyle w:val="Normal"/>
        <w:rPr/>
      </w:pPr>
      <w:r>
        <w:rPr/>
      </w:r>
    </w:p>
    <w:p>
      <w:pPr>
        <w:pStyle w:val="Heading2"/>
        <w:rPr/>
      </w:pPr>
      <w:r>
        <w:rPr>
          <w:rFonts w:eastAsia="Arial" w:cs="Arial" w:ascii="Arial" w:hAnsi="Arial"/>
          <w:b/>
          <w:bCs/>
          <w:sz w:val="28"/>
          <w:szCs w:val="28"/>
        </w:rPr>
        <w:t>Phase 12: Moodle Integration</w:t>
      </w:r>
    </w:p>
    <w:p>
      <w:pPr>
        <w:pStyle w:val="Normal"/>
        <w:rPr/>
      </w:pPr>
      <w:r>
        <w:rPr/>
      </w:r>
    </w:p>
    <w:p>
      <w:pPr>
        <w:pStyle w:val="Normal"/>
        <w:spacing w:before="0" w:after="120"/>
        <w:rPr/>
      </w:pPr>
      <w:r>
        <w:rPr>
          <w:rFonts w:eastAsia="Arial" w:cs="Arial"/>
          <w:sz w:val="18"/>
          <w:szCs w:val="18"/>
        </w:rPr>
        <w:t>Configure the Moodle integration to automatically update mentor Contact records when required training is completed.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Verify the CBM mentor training course is built and published in Moodle with a clear completion condition.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the Moodle-to-EspoCRM integration to fire a webhook or API call when a mentor completes the required training. Match Moodle user to EspoCRM Contact by email address.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the webhook/API call to set Moodle Training Completed = Yes and Moodle Completion Date = completion timestamp on the matched Contact record.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end-to-end: complete the training as a test user in Moodle and verify the Contact record is updated correctly in EspoCRM.</w:t>
      </w:r>
    </w:p>
    <w:p>
      <w:pPr>
        <w:pStyle w:val="Normal"/>
        <w:rPr/>
      </w:pPr>
      <w:r>
        <w:rPr/>
      </w:r>
    </w:p>
    <w:p>
      <w:pPr>
        <w:pStyle w:val="Heading2"/>
        <w:rPr/>
      </w:pPr>
      <w:r>
        <w:rPr>
          <w:rFonts w:eastAsia="Arial" w:cs="Arial" w:ascii="Arial" w:hAnsi="Arial"/>
          <w:b/>
          <w:bCs/>
          <w:sz w:val="28"/>
          <w:szCs w:val="28"/>
        </w:rPr>
        <w:t>Phase 13: Workflows &amp; Automation</w:t>
      </w:r>
    </w:p>
    <w:p>
      <w:pPr>
        <w:pStyle w:val="Normal"/>
        <w:rPr/>
      </w:pPr>
      <w:r>
        <w:rPr/>
      </w:r>
    </w:p>
    <w:p>
      <w:pPr>
        <w:pStyle w:val="Normal"/>
        <w:spacing w:before="0" w:after="120"/>
        <w:rPr/>
      </w:pPr>
      <w:r>
        <w:rPr>
          <w:rFonts w:eastAsia="Arial" w:cs="Arial"/>
          <w:sz w:val="18"/>
          <w:szCs w:val="18"/>
        </w:rPr>
        <w:t>Configure all EspoCRM workflow rules. Set configurable thresholds as admin-accessible system settings. Test all workflows in a development environment before enabling in production.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Client Intake workflow: on new Engagement created via REST API with Status = Submitted, notify admin.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Mentor Nomination workflow: on Engagement Status change to Pending Acceptance, send acceptance/refusal notification to nominated mentor with configurable acceptance window (default 48 hours).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Mentor Refusal workflow: on refusal, revert Engagement Status to Submitted, notify admin.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Acceptance Window Alert: if no mentor response within configured threshold, notify admin.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First Session workflow: on first Session created against an Assigned Engagement, change Engagement Status to Active.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Engagement Inactivity Monitoring: daily check per Meeting Cadence threshold. Change Status to Dormant and notify admin when threshold exceeded. Thresholds: Weekly = 14 days, Bi-Weekly = 21 days, Monthly = 45 days, As Needed = 60 days.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Dormant-to-Inactive workflow: change Status to Inactive after configurable period (default 60 days) with no activity.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Inactive-to-Abandoned workflow: change Status to Abandoned after configurable period (default 90 days). Trigger final NPS survey. Notify admin.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NPS Survey Trigger workflows: after 2nd Session, call LimeSurvey API to send survey. Repeat every 5 sessions thereafter.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Engagement Close NPS Trigger: on Status change to Completed or Abandoned, trigger final LimeSurvey API call.</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Email Auto-Link workflow: automatically link inbound and outbound emails to the active Engagement when linked to a Contact with an active Engagement.</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Meeting Request workflow: when Next Session Date/Time is saved on the Engagement (new or updated), send calendar meeting request to all Engagement Contacts (or Primary Contact if empty) and all assigned mentors.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Session Summary Email Draft workflow: when a Session is saved, auto-generate draft summary email from Topics Covered, Next Steps, and Next Session Date/Time. Present to mentor for review before sending.</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Mentor Application Receipt workflow: on new Contact created with Contact Type = Mentor and Mentor Status = Submitted via REST API, trigger admin notification.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Mentor Inactivity Monitoring: daily check across all Active mentor Contacts. Alert admin when a mentor has had no session attendance, no new engagement acceptance, and no Active or Assigned engagements for the configured threshold (default 60 days).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Configure Dues Unpaid Alert: when a Dues record exists for the current billing year with no Payment Date after a configurable grace period, alert admin.</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Set all configurable thresholds as admin-accessible system settings: mentor acceptance window (default 48 hours), Dormant thresholds per cadence, Inactive threshold (default 60 days), Abandoned threshold (default 90 days), mentor inactivity threshold (default 60 days), dues unpaid grace period.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all workflows end-to-end in a development environment before enabling in production.</w:t>
      </w:r>
    </w:p>
    <w:p>
      <w:pPr>
        <w:pStyle w:val="Normal"/>
        <w:rPr/>
      </w:pPr>
      <w:r>
        <w:rPr/>
      </w:r>
    </w:p>
    <w:p>
      <w:pPr>
        <w:pStyle w:val="Heading2"/>
        <w:rPr/>
      </w:pPr>
      <w:r>
        <w:rPr>
          <w:rFonts w:eastAsia="Arial" w:cs="Arial" w:ascii="Arial" w:hAnsi="Arial"/>
          <w:b/>
          <w:bCs/>
          <w:sz w:val="28"/>
          <w:szCs w:val="28"/>
        </w:rPr>
        <w:t>Phase 14: Global Search Presets</w:t>
      </w:r>
    </w:p>
    <w:p>
      <w:pPr>
        <w:pStyle w:val="Normal"/>
        <w:rPr/>
      </w:pPr>
      <w:r>
        <w:rPr/>
      </w:r>
    </w:p>
    <w:p>
      <w:pPr>
        <w:pStyle w:val="Normal"/>
        <w:spacing w:before="0" w:after="120"/>
        <w:rPr/>
      </w:pPr>
      <w:r>
        <w:rPr>
          <w:rFonts w:eastAsia="Arial" w:cs="Arial"/>
          <w:sz w:val="18"/>
          <w:szCs w:val="18"/>
        </w:rPr>
        <w:t>Configure global search presets for admin and mentor use. Create all presets as global (visible to all users with appropriate access).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Engagement presets: Submitted Engagements, Pending Acceptance, Active Engagements, Dormant Engagements, Inactive Engagements, Abandoned Engagements, Completed Engagements.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Company presets: All Companies, Companies with Active Engagements, Companies with No Active Engagement.</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Session presets: Sessions This Month, Sessions This Quarter.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NPS Survey Response presets: Recent NPS Responses, Low NPS Scores (0-6).</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Note preset: My Notes (filtered by Created By = current user).</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Mentor Status presets: Submitted Applications, Provisional Mentors, Active Mentors, Inactive Mentors, Declined Applications, Departed Mentors.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Mentor Capacity presets: Mentors Accepting Clients (Status = Active, Accepting New Clients = Yes, Available Capacity &gt; 0), Mentors at Capacity (Status = Active, Available Capacity = 0).</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Create Dues preset: Mentors with Unpaid Dues (Mentor Status = Active, Dues Status = Unpaid).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Verify all presets return expected results against test data.</w:t>
      </w:r>
    </w:p>
    <w:p>
      <w:pPr>
        <w:pStyle w:val="Normal"/>
        <w:rPr/>
      </w:pPr>
      <w:r>
        <w:rPr/>
      </w:r>
    </w:p>
    <w:p>
      <w:pPr>
        <w:pStyle w:val="Heading2"/>
        <w:rPr/>
      </w:pPr>
      <w:r>
        <w:rPr>
          <w:rFonts w:eastAsia="Arial" w:cs="Arial" w:ascii="Arial" w:hAnsi="Arial"/>
          <w:b/>
          <w:bCs/>
          <w:sz w:val="28"/>
          <w:szCs w:val="28"/>
        </w:rPr>
        <w:t>Phase 15: Testing &amp; Validation</w:t>
      </w:r>
    </w:p>
    <w:p>
      <w:pPr>
        <w:pStyle w:val="Normal"/>
        <w:rPr/>
      </w:pPr>
      <w:r>
        <w:rPr/>
      </w:r>
    </w:p>
    <w:p>
      <w:pPr>
        <w:pStyle w:val="Normal"/>
        <w:spacing w:before="0" w:after="120"/>
        <w:rPr/>
      </w:pPr>
      <w:r>
        <w:rPr>
          <w:rFonts w:eastAsia="Arial" w:cs="Arial"/>
          <w:sz w:val="18"/>
          <w:szCs w:val="18"/>
        </w:rPr>
        <w:t>Complete end-to-end testing of the full CRM before go-live. Perform each test with a test user account in the appropriate role.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Submit a test Client Intake form and verify Company, Contact, and Engagement records are created correctly with Status = Submitted. Verify admin notification received.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mentor nomination: nominate a mentor, verify notification sent, test acceptance path, test refusal path.</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Phase 2 client form delivery and verify response data populates correct Company fields.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Log a test Session and verify Engagement roll-up fields update correctly (Total Sessions, Last Session Date, Total Session Hours, Total Sessions Last 30 Days).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Session save validation: attempt to save a Session without a Mentor Attendee and verify the system blocks the save.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NPS survey trigger at 2nd Session: verify LimeSurvey sends survey and response posts back as NPS Survey Response record.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Engagement inactivity monitoring: manually advance dates and verify Dormant, Inactive, and Abandoned status transitions fire correctly.</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Submit a test Mentor Application form and verify Contact record created correctly with all fields, Mentor Status = Submitted, T&amp;C fields populated. Verify confirmation email and admin notification received.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mentor review and approval: change Mentor Status from Submitted to Provisional, then complete full 7-step activation through to Active.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mentor decline: change Mentor Status to Declined and verify record is retained.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Moodle integration: complete training as test user and verify Moodle Training Completed and Moodle Completion Date set on Contact record.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role-based access: log in as each role (Admin, Primary Mentor, Co-Mentor, SME, Board Member) and verify correct record visibility, field-level access, and action permissions.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Board Member access: verify list-view only on mentor Contact records, no individual record access.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Internal Only Note/Document: create Internal Only record as Admin, verify hidden from Mentor role.</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EIN Number field-level access: verify Co-Mentor and SME roles cannot see the field.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email auto-link: send email from mentor Gmail, verify it appears on Contact and Engagement activity streams.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mentor inactivity monitoring alert: manually advance dates and verify admin alert fires at configured threshold.</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Dues workflow: create Dues record, verify it appears on Contact Dues panel, test unpaid alert.</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Test all global search presets and verify expected results.</w:t>
      </w:r>
    </w:p>
    <w:p>
      <w:pPr>
        <w:pStyle w:val="ListParagraph"/>
        <w:numPr>
          <w:ilvl w:val="0"/>
          <w:numId w:val="1"/>
        </w:numPr>
        <w:spacing w:before="0" w:after="60"/>
        <w:rPr/>
      </w:pPr>
      <w:r>
        <w:rPr>
          <w:rFonts w:eastAsia="Arial" w:cs="Arial"/>
          <w:sz w:val="18"/>
          <w:szCs w:val="18"/>
        </w:rPr>
        <w:t xml:space="preserve">☐ </w:t>
      </w:r>
      <w:r>
        <w:rPr>
          <w:rFonts w:eastAsia="Arial" w:cs="Arial"/>
          <w:sz w:val="18"/>
          <w:szCs w:val="18"/>
        </w:rPr>
        <w:t>Conduct a full end-to-end walkthrough: client intake through engagement close, and mentor application through offboarding, with test admin and test mentor accounts.</w:t>
      </w:r>
    </w:p>
    <w:p>
      <w:pPr>
        <w:pStyle w:val="Normal"/>
        <w:rPr/>
      </w:pPr>
      <w:r>
        <w:rPr/>
      </w:r>
    </w:p>
    <w:p>
      <w:pPr>
        <w:pStyle w:val="Heading1"/>
        <w:rPr/>
      </w:pPr>
      <w:r>
        <w:rPr>
          <w:rFonts w:eastAsia="Arial" w:cs="Arial" w:ascii="Arial" w:hAnsi="Arial"/>
          <w:b/>
          <w:bCs/>
          <w:sz w:val="32"/>
          <w:szCs w:val="32"/>
        </w:rPr>
        <w:t>4. Document Control</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 / Item</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Values / 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Version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0.1</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Status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In Progress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Last Updated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March 18, 2026</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Next Review</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000000"/>
                <w:sz w:val="18"/>
                <w:szCs w:val="18"/>
              </w:rPr>
              <w:t>After initial EspoCRM configuration and testing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Related Documents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18"/>
                <w:szCs w:val="18"/>
              </w:rPr>
              <w:t>CBM-PRD-CRM.docx, CBM-PRD-CRM-Client.docx, CBM-PRD-CRM-Mentor.docx</w:t>
            </w:r>
          </w:p>
        </w:tc>
      </w:tr>
    </w:tbl>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pBdr>
        <w:bottom w:val="single" w:sz="4" w:space="4" w:color="2E75B6"/>
      </w:pBdr>
      <w:spacing w:before="320" w:after="16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1F4E79"/>
      <w:sz w:val="26"/>
      <w:szCs w:val="26"/>
    </w:rPr>
  </w:style>
  <w:style w:type="paragraph" w:styleId="Heading3">
    <w:name w:val="Heading 3"/>
    <w:basedOn w:val="Heading"/>
    <w:qFormat/>
    <w:pPr>
      <w:spacing w:before="180" w:after="80"/>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16</Pages>
  <Words>6020</Words>
  <Characters>33520</Characters>
  <CharactersWithSpaces>38841</CharactersWithSpaces>
  <Paragraphs>513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2026-03-19T04:07:43Z</dcterms:created>
  <dc:creator>Un-named</dc:creator>
  <dc:description/>
  <dc:language>en-US</dc:language>
  <cp:lastModifiedBy/>
  <dcterms:modified xsi:type="dcterms:W3CDTF">2026-03-20T11:14:20Z</dcterms:modified>
  <cp:revision>2</cp:revision>
  <dc:subject/>
  <dc:title/>
</cp:coreProperties>
</file>