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i w:val="false"/>
          <w:iCs w:val="false"/>
          <w:color w:val="1F3864"/>
          <w:sz w:val="28"/>
          <w:szCs w:val="28"/>
        </w:rPr>
        <w:t xml:space="preserve">Cleveland Business Mentors</w:t>
      </w:r>
    </w:p>
    <w:p>
      <w:pPr>
        <w:spacing w:after="360"/>
      </w:pPr>
      <w:r>
        <w:rPr>
          <w:rFonts w:ascii="Arial" w:cs="Arial" w:eastAsia="Arial" w:hAnsi="Arial"/>
          <w:b/>
          <w:bCs/>
          <w:i w:val="false"/>
          <w:iCs w:val="false"/>
          <w:color w:val="1F3864"/>
          <w:sz w:val="32"/>
          <w:szCs w:val="32"/>
        </w:rPr>
        <w:t xml:space="preserve">Sub-Domain Overview: Outreach and Marketing (CR-MARKETING)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1.2</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04-09-26 23:42</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Parent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Depends 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CBM-Domain-Overview-ClientRecruiting.docx v1.0, CBM-SubDomain-Overview-Partner.docx v1.1, CBM-Master-PRD.docx v2.5, CBM-Entity-Inventory.docx v1.4, Contact-Entity-PRD.docx v1.3, Account-Entity-PRD.docx v1.3</w:t>
            </w:r>
          </w:p>
        </w:tc>
      </w:tr>
    </w:tbl>
    <w:p>
      <w:pPr>
        <w:spacing w:after="360"/>
      </w:pPr>
      <w:r>
        <w:rPr>
          <w:rFonts w:ascii="Arial" w:cs="Arial" w:eastAsia="Arial" w:hAnsi="Arial"/>
          <w:b w:val="false"/>
          <w:bCs w:val="false"/>
          <w:i w:val="false"/>
          <w:iCs w:val="false"/>
          <w:sz w:val="22"/>
          <w:szCs w:val="22"/>
        </w:rPr>
        <w:t xml:space="preserve"/>
      </w:r>
    </w:p>
    <w:p>
      <w:pPr>
        <w:pStyle w:val="Heading1"/>
        <w:spacing w:after="120" w:before="360"/>
      </w:pPr>
      <w:r>
        <w:rPr>
          <w:rFonts w:ascii="Arial" w:cs="Arial" w:eastAsia="Arial" w:hAnsi="Arial"/>
          <w:b/>
          <w:bCs/>
          <w:i w:val="false"/>
          <w:iCs w:val="false"/>
          <w:sz w:val="32"/>
          <w:szCs w:val="32"/>
        </w:rPr>
        <w:t xml:space="preserve">1. Sub-Domain Purpose</w:t>
      </w:r>
    </w:p>
    <w:p>
      <w:pPr>
        <w:spacing w:after="120"/>
      </w:pPr>
      <w:r>
        <w:rPr>
          <w:rFonts w:ascii="Arial" w:cs="Arial" w:eastAsia="Arial" w:hAnsi="Arial"/>
          <w:b w:val="false"/>
          <w:bCs w:val="false"/>
          <w:i w:val="false"/>
          <w:iCs w:val="false"/>
          <w:sz w:val="22"/>
          <w:szCs w:val="22"/>
        </w:rPr>
        <w:t xml:space="preserve">The Outreach and Marketing sub-domain covers all activities that generate awareness and inbound interest through communications channels. This includes digital presence (search engine optimization, website, search advertising grants), content marketing, social media, email marketing, media and public relations (news stories, podcasts, radio, op-eds, press releases), paid advertising, and direct grassroots outreach (canvassing, flyers, direct mail to newly registered businesses, strategic signage). It also covers marketing contact list management and campaign performance tracking.</w:t>
      </w:r>
    </w:p>
    <w:p>
      <w:pPr>
        <w:spacing w:after="120"/>
      </w:pPr>
      <w:r>
        <w:rPr>
          <w:rFonts w:ascii="Arial" w:cs="Arial" w:eastAsia="Arial" w:hAnsi="Arial"/>
          <w:b w:val="false"/>
          <w:bCs w:val="false"/>
          <w:i w:val="false"/>
          <w:iCs w:val="false"/>
          <w:sz w:val="22"/>
          <w:szCs w:val="22"/>
        </w:rPr>
        <w:t xml:space="preserve">CR-MARKETING is designated as the Important tier within the Client Recruiting domain. It is the broadest channel by reach, generating the largest volume of prospect contacts through digital and outreach activity, but it is not the highest-conversion channel — partner referrals (CR-PARTNER) and event attendance (CR-EVENTS) typically convert at higher rates. CR-MARKETING’s value is in volume, brand awareness, and pipeline coverage of geographies and audiences that the other sub-domains cannot reach directly.</w:t>
      </w:r>
    </w:p>
    <w:p>
      <w:pPr>
        <w:spacing w:after="120"/>
      </w:pPr>
      <w:r>
        <w:rPr>
          <w:rFonts w:ascii="Arial" w:cs="Arial" w:eastAsia="Arial" w:hAnsi="Arial"/>
          <w:b w:val="false"/>
          <w:bCs w:val="false"/>
          <w:i w:val="false"/>
          <w:iCs w:val="false"/>
          <w:sz w:val="22"/>
          <w:szCs w:val="22"/>
        </w:rPr>
        <w:t xml:space="preserve">The CRM serves as the single source of truth for prospect contact data. Contact lists are maintained in the CRM and synchronized to an external marketing platform for campaign delivery. Campaign engagement history flows back to the CRM so the Client Recruiter has complete visibility into every interaction CBM has had with each prospect, regardless of channel. The marketing platform is purely a delivery and content authoring tool; it never creates or modifies Contact records.</w:t>
      </w:r>
    </w:p>
    <w:p>
      <w:pPr>
        <w:spacing w:after="120"/>
      </w:pPr>
      <w:r>
        <w:rPr>
          <w:rFonts w:ascii="Arial" w:cs="Arial" w:eastAsia="Arial" w:hAnsi="Arial"/>
          <w:b w:val="false"/>
          <w:bCs w:val="false"/>
          <w:i w:val="false"/>
          <w:iCs w:val="false"/>
          <w:sz w:val="22"/>
          <w:szCs w:val="22"/>
        </w:rPr>
        <w:t xml:space="preserve">The sub-domain operates through two processes that divide marketing operations at the contact-versus-campaign boundary. CR-MARKETING-CONTACTS covers prospect contact creation, list management, and segmentation. CR-MARKETING-CAMPAIGNS covers campaign planning, execution coordination with the external marketing platform, engagement tracking, and channel effectiveness measurement.</w:t>
      </w:r>
    </w:p>
    <w:p>
      <w:pPr>
        <w:pStyle w:val="Heading1"/>
        <w:spacing w:after="120" w:before="360"/>
      </w:pPr>
      <w:r>
        <w:rPr>
          <w:rFonts w:ascii="Arial" w:cs="Arial" w:eastAsia="Arial" w:hAnsi="Arial"/>
          <w:b/>
          <w:bCs/>
          <w:i w:val="false"/>
          <w:iCs w:val="false"/>
          <w:sz w:val="32"/>
          <w:szCs w:val="32"/>
        </w:rPr>
        <w:t xml:space="preserve">2. Personas</w:t>
      </w:r>
    </w:p>
    <w:p>
      <w:pPr>
        <w:spacing w:after="120"/>
      </w:pPr>
      <w:r>
        <w:rPr>
          <w:rFonts w:ascii="Arial" w:cs="Arial" w:eastAsia="Arial" w:hAnsi="Arial"/>
          <w:b w:val="false"/>
          <w:bCs w:val="false"/>
          <w:i w:val="false"/>
          <w:iCs w:val="false"/>
          <w:sz w:val="22"/>
          <w:szCs w:val="22"/>
        </w:rPr>
        <w:t xml:space="preserve">Three personas participate in the CR-MARKETING sub-domain. The Client Recruiter is the primary operator for both processes. The Partner Coordinator participates as a supporting persona on joint marketing initiatives. The Client persona is the target of all marketing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00"/>
        <w:gridCol w:w="1760"/>
      </w:tblGrid>
      <w:tr>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Persona</w:t>
            </w:r>
          </w:p>
        </w:tc>
        <w:tc>
          <w:tcPr>
            <w:tcW w:type="dxa" w:w="4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CR-MARKETING Role</w:t>
            </w:r>
          </w:p>
        </w:tc>
        <w:tc>
          <w:tcPr>
            <w:tcW w:type="dxa" w:w="1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Process Participation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MST-PER-007</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Recruiter</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operator for both processes. Plans and executes outreach campaigns, manages prospect contact lists, segments audiences, coordinates with the external marketing platform, tracks campaign effectiveness, and analyzes channel performance.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CR-MARKETING-CONTACTS, CR-MARKETING-CAMPAIGNS</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MST-PER-008</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Coordinator</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Supports through partner channels. Coordinates with the Client Recruiter on joint marketing initiatives that leverage partner organizations’ networks, mailing lists, and outreach channels.</w:t>
            </w:r>
          </w:p>
        </w:tc>
        <w:tc>
          <w:tcPr>
            <w:tcW w:type="dxa" w:w="1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MST-PER-013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Target of outreach. Receives marketing communications. May appear as a Contact in the CRM at the prospect stage (before applying), at the applicant stage (during MN-INTAKE), or as an active client. Self-reports application source attribution at intake.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CR-MARKETING-CONTACTS, CR-MARKETING-CAMPAIGNS</w:t>
            </w:r>
          </w:p>
        </w:tc>
      </w:tr>
    </w:tbl>
    <w:p>
      <w:pPr>
        <w:pStyle w:val="Heading1"/>
        <w:spacing w:after="120" w:before="360"/>
      </w:pPr>
      <w:r>
        <w:rPr>
          <w:rFonts w:ascii="Arial" w:cs="Arial" w:eastAsia="Arial" w:hAnsi="Arial"/>
          <w:b/>
          <w:bCs/>
          <w:i w:val="false"/>
          <w:iCs w:val="false"/>
          <w:sz w:val="32"/>
          <w:szCs w:val="32"/>
        </w:rPr>
        <w:t xml:space="preserve">3. Business Processes</w:t>
      </w:r>
    </w:p>
    <w:p>
      <w:pPr>
        <w:spacing w:after="120"/>
      </w:pPr>
      <w:r>
        <w:rPr>
          <w:rFonts w:ascii="Arial" w:cs="Arial" w:eastAsia="Arial" w:hAnsi="Arial"/>
          <w:b w:val="false"/>
          <w:bCs w:val="false"/>
          <w:i w:val="false"/>
          <w:iCs w:val="false"/>
          <w:sz w:val="22"/>
          <w:szCs w:val="22"/>
        </w:rPr>
        <w:t xml:space="preserve">The CR-MARKETING sub-domain contains two business processes, listed in dependency order.</w:t>
      </w:r>
    </w:p>
    <w:p>
      <w:pPr>
        <w:pStyle w:val="Heading2"/>
        <w:spacing w:after="120" w:before="240"/>
      </w:pPr>
      <w:r>
        <w:rPr>
          <w:rFonts w:ascii="Arial" w:cs="Arial" w:eastAsia="Arial" w:hAnsi="Arial"/>
          <w:b/>
          <w:bCs/>
          <w:i w:val="false"/>
          <w:iCs w:val="false"/>
          <w:sz w:val="28"/>
          <w:szCs w:val="28"/>
        </w:rPr>
        <w:t xml:space="preserve">3.1 Process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3760"/>
      </w:tblGrid>
      <w:tr>
        <w:tc>
          <w:tcPr>
            <w:tcW w:type="dxa" w:w="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w:t>
            </w:r>
          </w:p>
        </w:tc>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Code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Process Name</w:t>
            </w:r>
          </w:p>
        </w:tc>
        <w:tc>
          <w:tcPr>
            <w:tcW w:type="dxa" w:w="3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CR-MARKETING-CONTACTS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Contact Management</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Creating and maintaining prospect and marketing contact records, segmenting contact lists, synchronizing lists to the external marketing platform, and tracking prospect-to-applicant pipeline progression.</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2</w:t>
            </w:r>
          </w:p>
        </w:tc>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Execution and Tracking</w:t>
            </w:r>
          </w:p>
        </w:tc>
        <w:tc>
          <w:tcPr>
            <w:tcW w:type="dxa" w:w="3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Planning, executing, and measuring outreach campaigns. Campaign engagement history, application source attribution, channel effectiveness analysis, and geographic targeting.</w:t>
            </w:r>
          </w:p>
        </w:tc>
      </w:tr>
    </w:tbl>
    <w:p>
      <w:pPr>
        <w:pStyle w:val="Heading2"/>
        <w:spacing w:after="120" w:before="240"/>
      </w:pPr>
      <w:r>
        <w:rPr>
          <w:rFonts w:ascii="Arial" w:cs="Arial" w:eastAsia="Arial" w:hAnsi="Arial"/>
          <w:b/>
          <w:bCs/>
          <w:i w:val="false"/>
          <w:iCs w:val="false"/>
          <w:sz w:val="28"/>
          <w:szCs w:val="28"/>
        </w:rPr>
        <w:t xml:space="preserve">3.2 CR-MARKETING-CONTACTS — Marketing Contact Management</w:t>
      </w:r>
    </w:p>
    <w:p>
      <w:pPr>
        <w:spacing w:after="120"/>
      </w:pPr>
      <w:r>
        <w:rPr>
          <w:rFonts w:ascii="Arial" w:cs="Arial" w:eastAsia="Arial" w:hAnsi="Arial"/>
          <w:b w:val="false"/>
          <w:bCs w:val="false"/>
          <w:i w:val="false"/>
          <w:iCs w:val="false"/>
          <w:sz w:val="22"/>
          <w:szCs w:val="22"/>
        </w:rPr>
        <w:t xml:space="preserve">Covers creating and maintaining prospect and marketing contact records in the CRM, segmenting contact lists for targeted outreach, synchronizing lists to the external marketing platform, and tracking how contacts move through the prospect-to-applicant pipeline. Prospect contacts are maintained in the CRM as the single source of truth. The process is continuous — contacts are created, updated, and reclassified as they progress through the funnel or become inactive.</w:t>
      </w:r>
    </w:p>
    <w:p>
      <w:pPr>
        <w:spacing w:after="120"/>
      </w:pPr>
      <w:r>
        <w:rPr>
          <w:rFonts w:ascii="Arial" w:cs="Arial" w:eastAsia="Arial" w:hAnsi="Arial"/>
          <w:b w:val="false"/>
          <w:bCs w:val="false"/>
          <w:i w:val="false"/>
          <w:iCs w:val="false"/>
          <w:sz w:val="22"/>
          <w:szCs w:val="22"/>
        </w:rPr>
        <w:t xml:space="preserve">This process owns the operational rules for Contact creation across all CR-MARKETING pathways: web inquiry forms, marketing list imports, single-record additions, and any other inbound channel. It applies the Universal Contact-Creation Rules (Section 4.4) to ensure consistent Account linkage, contactType assignment, and lifecycle field initialization. It also owns the multi-contact-per-company detection logic that prevents duplicate outreach to the same firm.</w:t>
      </w:r>
    </w:p>
    <w:p>
      <w:pPr>
        <w:spacing w:after="120"/>
      </w:pPr>
      <w:r>
        <w:rPr>
          <w:rFonts w:ascii="Arial" w:cs="Arial" w:eastAsia="Arial" w:hAnsi="Arial"/>
          <w:b/>
          <w:bCs/>
          <w:i w:val="false"/>
          <w:iCs w:val="false"/>
          <w:sz w:val="22"/>
          <w:szCs w:val="22"/>
        </w:rPr>
        <w:t xml:space="preserve">Primary persona: </w:t>
      </w:r>
      <w:r>
        <w:rPr>
          <w:rFonts w:ascii="Arial" w:cs="Arial" w:eastAsia="Arial" w:hAnsi="Arial"/>
          <w:b w:val="false"/>
          <w:bCs w:val="false"/>
          <w:i w:val="false"/>
          <w:iCs w:val="false"/>
          <w:sz w:val="22"/>
          <w:szCs w:val="22"/>
        </w:rPr>
        <w:t xml:space="preserve">Client Recruiter (MST-PER-007).</w:t>
      </w:r>
    </w:p>
    <w:p>
      <w:pPr>
        <w:spacing w:after="120"/>
      </w:pPr>
      <w:r>
        <w:rPr>
          <w:rFonts w:ascii="Arial" w:cs="Arial" w:eastAsia="Arial" w:hAnsi="Arial"/>
          <w:b/>
          <w:bCs/>
          <w:i w:val="false"/>
          <w:iCs w:val="false"/>
          <w:sz w:val="22"/>
          <w:szCs w:val="22"/>
        </w:rPr>
        <w:t xml:space="preserve">Supporting personas: </w:t>
      </w:r>
      <w:r>
        <w:rPr>
          <w:rFonts w:ascii="Arial" w:cs="Arial" w:eastAsia="Arial" w:hAnsi="Arial"/>
          <w:b w:val="false"/>
          <w:bCs w:val="false"/>
          <w:i w:val="false"/>
          <w:iCs w:val="false"/>
          <w:sz w:val="22"/>
          <w:szCs w:val="22"/>
        </w:rPr>
        <w:t xml:space="preserve">None. The Client Recruiter is the sole operator in this process.</w:t>
      </w:r>
    </w:p>
    <w:p>
      <w:pPr>
        <w:spacing w:after="120"/>
      </w:pPr>
      <w:r>
        <w:rPr>
          <w:rFonts w:ascii="Arial" w:cs="Arial" w:eastAsia="Arial" w:hAnsi="Arial"/>
          <w:b/>
          <w:bCs/>
          <w:i w:val="false"/>
          <w:iCs w:val="false"/>
          <w:sz w:val="22"/>
          <w:szCs w:val="22"/>
        </w:rPr>
        <w:t xml:space="preserve">Entities used: </w:t>
      </w:r>
      <w:r>
        <w:rPr>
          <w:rFonts w:ascii="Arial" w:cs="Arial" w:eastAsia="Arial" w:hAnsi="Arial"/>
          <w:b w:val="false"/>
          <w:bCs w:val="false"/>
          <w:i w:val="false"/>
          <w:iCs w:val="false"/>
          <w:sz w:val="22"/>
          <w:szCs w:val="22"/>
        </w:rPr>
        <w:t xml:space="preserve">Contact (creates and maintains prospect contacts), Account (creates and links Client Accounts when company information is provided).</w:t>
      </w:r>
    </w:p>
    <w:p>
      <w:pPr>
        <w:pStyle w:val="Heading2"/>
        <w:spacing w:after="120" w:before="240"/>
      </w:pPr>
      <w:r>
        <w:rPr>
          <w:rFonts w:ascii="Arial" w:cs="Arial" w:eastAsia="Arial" w:hAnsi="Arial"/>
          <w:b/>
          <w:bCs/>
          <w:i w:val="false"/>
          <w:iCs w:val="false"/>
          <w:sz w:val="28"/>
          <w:szCs w:val="28"/>
        </w:rPr>
        <w:t xml:space="preserve">3.3 CR-MARKETING-CAMPAIGNS — Campaign Execution and Tracking</w:t>
      </w:r>
    </w:p>
    <w:p>
      <w:pPr>
        <w:spacing w:after="120"/>
      </w:pPr>
      <w:r>
        <w:rPr>
          <w:rFonts w:ascii="Arial" w:cs="Arial" w:eastAsia="Arial" w:hAnsi="Arial"/>
          <w:b w:val="false"/>
          <w:bCs w:val="false"/>
          <w:i w:val="false"/>
          <w:iCs w:val="false"/>
          <w:sz w:val="22"/>
          <w:szCs w:val="22"/>
        </w:rPr>
        <w:t xml:space="preserve">Covers planning, executing, and measuring outreach campaigns. The Client Recruiter creates Campaign records in the CRM as lightweight placeholders specifying audience, channel, and planned send date, then authors content in the external marketing platform and triggers the actual send. Campaign engagement history (sends, opens, clicks, bounces) flows back from the marketing platform and is recorded against per-recipient Campaign Engagement records as well as aggregate roll-up fields on Contact and Campaign.</w:t>
      </w:r>
    </w:p>
    <w:p>
      <w:pPr>
        <w:spacing w:after="120"/>
      </w:pPr>
      <w:r>
        <w:rPr>
          <w:rFonts w:ascii="Arial" w:cs="Arial" w:eastAsia="Arial" w:hAnsi="Arial"/>
          <w:b w:val="false"/>
          <w:bCs w:val="false"/>
          <w:i w:val="false"/>
          <w:iCs w:val="false"/>
          <w:sz w:val="22"/>
          <w:szCs w:val="22"/>
        </w:rPr>
        <w:t xml:space="preserve">Application source attribution records how each new applicant heard about CBM, supporting channel effectiveness analysis across the four CR sub-domains. Geographic targeting directs campaigns toward specific service areas. Coordinated multi-touch efforts can be grouped via the optional Campaign Group entity for rollup reporting.</w:t>
      </w:r>
    </w:p>
    <w:p>
      <w:pPr>
        <w:spacing w:after="120"/>
      </w:pPr>
      <w:r>
        <w:rPr>
          <w:rFonts w:ascii="Arial" w:cs="Arial" w:eastAsia="Arial" w:hAnsi="Arial"/>
          <w:b/>
          <w:bCs/>
          <w:i w:val="false"/>
          <w:iCs w:val="false"/>
          <w:sz w:val="22"/>
          <w:szCs w:val="22"/>
        </w:rPr>
        <w:t xml:space="preserve">Primary persona: </w:t>
      </w:r>
      <w:r>
        <w:rPr>
          <w:rFonts w:ascii="Arial" w:cs="Arial" w:eastAsia="Arial" w:hAnsi="Arial"/>
          <w:b w:val="false"/>
          <w:bCs w:val="false"/>
          <w:i w:val="false"/>
          <w:iCs w:val="false"/>
          <w:sz w:val="22"/>
          <w:szCs w:val="22"/>
        </w:rPr>
        <w:t xml:space="preserve">Client Recruiter (MST-PER-007).</w:t>
      </w:r>
    </w:p>
    <w:p>
      <w:pPr>
        <w:spacing w:after="120"/>
      </w:pPr>
      <w:r>
        <w:rPr>
          <w:rFonts w:ascii="Arial" w:cs="Arial" w:eastAsia="Arial" w:hAnsi="Arial"/>
          <w:b/>
          <w:bCs/>
          <w:i w:val="false"/>
          <w:iCs w:val="false"/>
          <w:sz w:val="22"/>
          <w:szCs w:val="22"/>
        </w:rPr>
        <w:t xml:space="preserve">Supporting personas: </w:t>
      </w:r>
      <w:r>
        <w:rPr>
          <w:rFonts w:ascii="Arial" w:cs="Arial" w:eastAsia="Arial" w:hAnsi="Arial"/>
          <w:b w:val="false"/>
          <w:bCs w:val="false"/>
          <w:i w:val="false"/>
          <w:iCs w:val="false"/>
          <w:sz w:val="22"/>
          <w:szCs w:val="22"/>
        </w:rPr>
        <w:t xml:space="preserve">Partner Coordinator (MST-PER-008) for joint marketing initiatives leveraging partner channels.</w:t>
      </w:r>
    </w:p>
    <w:p>
      <w:pPr>
        <w:spacing w:after="120"/>
      </w:pPr>
      <w:r>
        <w:rPr>
          <w:rFonts w:ascii="Arial" w:cs="Arial" w:eastAsia="Arial" w:hAnsi="Arial"/>
          <w:b/>
          <w:bCs/>
          <w:i w:val="false"/>
          <w:iCs w:val="false"/>
          <w:sz w:val="22"/>
          <w:szCs w:val="22"/>
        </w:rPr>
        <w:t xml:space="preserve">Entities used: </w:t>
      </w:r>
      <w:r>
        <w:rPr>
          <w:rFonts w:ascii="Arial" w:cs="Arial" w:eastAsia="Arial" w:hAnsi="Arial"/>
          <w:b w:val="false"/>
          <w:bCs w:val="false"/>
          <w:i w:val="false"/>
          <w:iCs w:val="false"/>
          <w:sz w:val="22"/>
          <w:szCs w:val="22"/>
        </w:rPr>
        <w:t xml:space="preserve">Campaign (creates and updates), Campaign Group (creates and links, optional), Campaign Engagement (creates per-recipient records), Contact (reads and updates engagement roll-ups), Account (reads for company-level segmentation).</w:t>
      </w:r>
    </w:p>
    <w:p>
      <w:pPr>
        <w:pStyle w:val="Heading2"/>
        <w:spacing w:after="120" w:before="240"/>
      </w:pPr>
      <w:r>
        <w:rPr>
          <w:rFonts w:ascii="Arial" w:cs="Arial" w:eastAsia="Arial" w:hAnsi="Arial"/>
          <w:b/>
          <w:bCs/>
          <w:i w:val="false"/>
          <w:iCs w:val="false"/>
          <w:sz w:val="28"/>
          <w:szCs w:val="28"/>
        </w:rPr>
        <w:t xml:space="preserve">3.4 Dependency and Production Order</w:t>
      </w:r>
    </w:p>
    <w:p>
      <w:pPr>
        <w:spacing w:after="120"/>
      </w:pPr>
      <w:r>
        <w:rPr>
          <w:rFonts w:ascii="Arial" w:cs="Arial" w:eastAsia="Arial" w:hAnsi="Arial"/>
          <w:b w:val="false"/>
          <w:bCs w:val="false"/>
          <w:i w:val="false"/>
          <w:iCs w:val="false"/>
          <w:sz w:val="22"/>
          <w:szCs w:val="22"/>
        </w:rPr>
        <w:t xml:space="preserve">CR-MARKETING-CONTACTS must be defined before CR-MARKETING-CAMPAIGNS. The contact management process establishes the prospect Contact record patterns, the Universal Contact-Creation Rules, the Account linkage logic, and the lifecycle field handling that the campaign process depends on. Campaigns operate on the contact lists produced by the contact management process.</w:t>
      </w:r>
    </w:p>
    <w:p>
      <w:pPr>
        <w:pStyle w:val="Heading1"/>
        <w:spacing w:after="120" w:before="360"/>
      </w:pPr>
      <w:r>
        <w:rPr>
          <w:rFonts w:ascii="Arial" w:cs="Arial" w:eastAsia="Arial" w:hAnsi="Arial"/>
          <w:b/>
          <w:bCs/>
          <w:i w:val="false"/>
          <w:iCs w:val="false"/>
          <w:sz w:val="32"/>
          <w:szCs w:val="32"/>
        </w:rPr>
        <w:t xml:space="preserve">4. Data Reference</w:t>
      </w:r>
    </w:p>
    <w:p>
      <w:pPr>
        <w:spacing w:after="120"/>
      </w:pPr>
      <w:r>
        <w:rPr>
          <w:rFonts w:ascii="Arial" w:cs="Arial" w:eastAsia="Arial" w:hAnsi="Arial"/>
          <w:b w:val="false"/>
          <w:bCs w:val="false"/>
          <w:i w:val="false"/>
          <w:iCs w:val="false"/>
          <w:sz w:val="22"/>
          <w:szCs w:val="22"/>
        </w:rPr>
        <w:t xml:space="preserve">This section identifies the entities, fields, and rules relevant to the CR-MARKETING sub-domain, assembled by reference to completed Entity PRDs, the Entity Inventory, and decisions made during this Sub-Domain Overview session. Field-level detail is owned by Entity PRDs and will be established or updated as CR-MARKETING process documents and dependent Entity PRDs are completed.</w:t>
      </w:r>
    </w:p>
    <w:p>
      <w:pPr>
        <w:pStyle w:val="Heading2"/>
        <w:spacing w:after="120" w:before="240"/>
      </w:pPr>
      <w:r>
        <w:rPr>
          <w:rFonts w:ascii="Arial" w:cs="Arial" w:eastAsia="Arial" w:hAnsi="Arial"/>
          <w:b/>
          <w:bCs/>
          <w:i w:val="false"/>
          <w:iCs w:val="false"/>
          <w:sz w:val="28"/>
          <w:szCs w:val="28"/>
        </w:rPr>
        <w:t xml:space="preserve">4.1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5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 Entity</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 PRD</w:t>
            </w:r>
          </w:p>
        </w:tc>
        <w:tc>
          <w:tcPr>
            <w:tcW w:type="dxa" w:w="4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CR-MARKETING Role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Person</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v1.2</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contacts, applicant contacts, and active client contacts. New fields added: prospectStatus (closes CON-ISS-001), emailOptOut, smsOptOut, sourceAttributionDetails, plus four marketing engagement roll-up fields. howDidYouHearAboutCbm enum value list finalized (closes CON-ISS-008).</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Company</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v1.1</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Accounts created when prospect Contacts provide company information. New field added: clientStatus (closes ACT-ISS-001). Native website field gains usage note as the basis for prospect-Contact-to-Account matching.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Base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Deferred</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campaigns. One record per outbound send. Owned exclusively by CR-MARKETING-CAMPAIGNS. Entity PRD depends on CR-MARKETING-CAMPAIGNS process document.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Group</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Base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Deferred</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Optional grouping of related Campaigns into a coordinated effort for rollup reporting. Owned exclusively by CR-MARKETING-CAMPAIGNS. Entity PRD depends on CR-MARKETING-CAMPAIGNS process document.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Engagement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Base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Deferred</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Per-recipient engagement record linking a Contact to a Campaign with send/open/click/bounce tracking. Owned exclusively by CR-MARKETING-CAMPAIGNS. Entity PRD depends on CR-MARKETING-CAMPAIGNS process document.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Base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Deferred</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 list management entity with two types (Dynamic and Static via immutable segmentType enum). Used by CR-MARKETING-CONTACTS for audience segmentation and by CR-MARKETING-CAMPAIGNS as campaign send lists. Owned by CR-MARKETING-CONTACTS. Entity PRD deferred to Phase 2b; surfaced by CR-MARKETING-CONTACTS v1.0.</w:t>
            </w:r>
          </w:p>
        </w:tc>
      </w:tr>
    </w:tbl>
    <w:p>
      <w:pPr>
        <w:pStyle w:val="Heading2"/>
        <w:spacing w:after="120" w:before="240"/>
      </w:pPr>
      <w:r>
        <w:rPr>
          <w:rFonts w:ascii="Arial" w:cs="Arial" w:eastAsia="Arial" w:hAnsi="Arial"/>
          <w:b/>
          <w:bCs/>
          <w:i w:val="false"/>
          <w:iCs w:val="false"/>
          <w:sz w:val="28"/>
          <w:szCs w:val="28"/>
        </w:rPr>
        <w:t xml:space="preserve">4.2 Prospect Contact Lifecycle Model</w:t>
      </w:r>
    </w:p>
    <w:p>
      <w:pPr>
        <w:spacing w:after="120"/>
      </w:pPr>
      <w:r>
        <w:rPr>
          <w:rFonts w:ascii="Arial" w:cs="Arial" w:eastAsia="Arial" w:hAnsi="Arial"/>
          <w:b w:val="false"/>
          <w:bCs w:val="false"/>
          <w:i w:val="false"/>
          <w:iCs w:val="false"/>
          <w:sz w:val="22"/>
          <w:szCs w:val="22"/>
        </w:rPr>
        <w:t xml:space="preserve">Prospect contacts are full Contact records in the CRM. The CRM is the single source of truth for all contacts known to CBM, including prospects who have only ever appeared on a marketing list. The previously documented statement that “client prospects have not yet entered the system” is superseded by this Sub-Domain Overview — marketing-stage prospects enter the system through CR-MARKETING-CONTACTS pathways and exist as Contact records from that moment forward.</w:t>
      </w:r>
    </w:p>
    <w:p>
      <w:pPr>
        <w:spacing w:after="120"/>
      </w:pPr>
      <w:r>
        <w:rPr>
          <w:rFonts w:ascii="Arial" w:cs="Arial" w:eastAsia="Arial" w:hAnsi="Arial"/>
          <w:b w:val="false"/>
          <w:bCs w:val="false"/>
          <w:i w:val="false"/>
          <w:iCs w:val="false"/>
          <w:sz w:val="22"/>
          <w:szCs w:val="22"/>
        </w:rPr>
        <w:t xml:space="preserve">The lifecycle is split across two fields on two entities, answering two genuinely different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Question</w:t>
            </w:r>
          </w:p>
        </w:tc>
        <w:tc>
          <w:tcPr>
            <w:tcW w:type="dxa" w:w="4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Answered By</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How is this person engaging with our marketing?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Contact.prospectStatus</w:t>
            </w:r>
          </w:p>
        </w:tc>
      </w:tr>
      <w:tr>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Where is this company in their relationship with CBM?</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Account.clientStatus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two fields are not redundant because they measure different things. A person can be Unresponsive in marketing while their company is an Active Client (because their co-founder is in an active engagement) — that is the correct answer to two different questions, not data drift. Multiple Contacts can be linked to the same client engagement at the same Account, and the Account-level clientStatus correctly represents the relationship without ambiguity from any individual Contact’s prospectStatus.</w:t>
      </w:r>
    </w:p>
    <w:p>
      <w:pPr>
        <w:spacing w:after="120"/>
      </w:pPr>
      <w:r>
        <w:rPr>
          <w:rFonts w:ascii="Arial" w:cs="Arial" w:eastAsia="Arial" w:hAnsi="Arial"/>
          <w:b/>
          <w:bCs/>
          <w:i w:val="false"/>
          <w:iCs w:val="false"/>
          <w:sz w:val="22"/>
          <w:szCs w:val="22"/>
        </w:rPr>
        <w:t xml:space="preserve">Contact.prospectStatus </w:t>
      </w:r>
      <w:r>
        <w:rPr>
          <w:rFonts w:ascii="Arial" w:cs="Arial" w:eastAsia="Arial" w:hAnsi="Arial"/>
          <w:b w:val="false"/>
          <w:bCs w:val="false"/>
          <w:i w:val="false"/>
          <w:iCs w:val="false"/>
          <w:sz w:val="22"/>
          <w:szCs w:val="22"/>
        </w:rPr>
        <w:t xml:space="preserve">— enum field added to the Contact entity. Tracks the marketing-funnel state of an individual person. Values are TBD pending CBM leadership input (CR-MARKETING-ISS-003) but the structure is settled: a starting straw man is New Prospect → Engaged → Unresponsive → Converted → Opted Out. The field stops being actively managed after the contact applies (terminal state: Converted). This field closes CON-ISS-001 with a renamed and clarified scope — the original issue called for a “client lifecycle field on Contact” but the correct answer is a marketing-funnel field on Contact paired with a client-relationship field on Account.</w:t>
      </w:r>
    </w:p>
    <w:p>
      <w:pPr>
        <w:spacing w:after="120"/>
      </w:pPr>
      <w:r>
        <w:rPr>
          <w:rFonts w:ascii="Arial" w:cs="Arial" w:eastAsia="Arial" w:hAnsi="Arial"/>
          <w:b/>
          <w:bCs/>
          <w:i w:val="false"/>
          <w:iCs w:val="false"/>
          <w:sz w:val="22"/>
          <w:szCs w:val="22"/>
        </w:rPr>
        <w:t xml:space="preserve">Account.clientStatus </w:t>
      </w:r>
      <w:r>
        <w:rPr>
          <w:rFonts w:ascii="Arial" w:cs="Arial" w:eastAsia="Arial" w:hAnsi="Arial"/>
          <w:b w:val="false"/>
          <w:bCs w:val="false"/>
          <w:i w:val="false"/>
          <w:iCs w:val="false"/>
          <w:sz w:val="22"/>
          <w:szCs w:val="22"/>
        </w:rPr>
        <w:t xml:space="preserve">— enum field added to the Account entity. Tracks the client-relationship lifecycle of a client company. Values are TBD pending CBM leadership input (CR-MARKETING-ISS-004) but the structure is settled: a starting straw man is Prospect → Applicant → Active Client → On Hold → Former Client. The field is created on the Account when the Account is created — which can happen at the prospect stage (when company information is available) or at MN-INTAKE time. This field closes ACT-ISS-001.</w:t>
      </w:r>
    </w:p>
    <w:p>
      <w:pPr>
        <w:spacing w:after="120"/>
      </w:pPr>
      <w:r>
        <w:rPr>
          <w:rFonts w:ascii="Arial" w:cs="Arial" w:eastAsia="Arial" w:hAnsi="Arial"/>
          <w:b/>
          <w:bCs/>
          <w:i w:val="false"/>
          <w:iCs w:val="false"/>
          <w:sz w:val="22"/>
          <w:szCs w:val="22"/>
        </w:rPr>
        <w:t xml:space="preserve">Handoff at MN-INTAKE: </w:t>
      </w:r>
      <w:r>
        <w:rPr>
          <w:rFonts w:ascii="Arial" w:cs="Arial" w:eastAsia="Arial" w:hAnsi="Arial"/>
          <w:b w:val="false"/>
          <w:bCs w:val="false"/>
          <w:i w:val="false"/>
          <w:iCs w:val="false"/>
          <w:sz w:val="22"/>
          <w:szCs w:val="22"/>
        </w:rPr>
        <w:t xml:space="preserve">When a prospect Contact submits an application, MN-INTAKE either updates the linked Account’s clientStatus from Prospect to Applicant (when an Account already exists) or creates a new Account at clientStatus Applicant using the existing pre-startup naming logic (MN-INTAKE-REQ-008). The Contact’s prospectStatus transitions to Converted. Other prospect Contacts at the same Account are not automatically converted — each person retains their own marketing-funnel state independent of whether a co-founder applied.</w:t>
      </w:r>
    </w:p>
    <w:p>
      <w:pPr>
        <w:pStyle w:val="Heading2"/>
        <w:spacing w:after="120" w:before="240"/>
      </w:pPr>
      <w:r>
        <w:rPr>
          <w:rFonts w:ascii="Arial" w:cs="Arial" w:eastAsia="Arial" w:hAnsi="Arial"/>
          <w:b/>
          <w:bCs/>
          <w:i w:val="false"/>
          <w:iCs w:val="false"/>
          <w:sz w:val="28"/>
          <w:szCs w:val="28"/>
        </w:rPr>
        <w:t xml:space="preserve">4.3 Account Creation and Matching at the Prospect Stage</w:t>
      </w:r>
    </w:p>
    <w:p>
      <w:pPr>
        <w:spacing w:after="120"/>
      </w:pPr>
      <w:r>
        <w:rPr>
          <w:rFonts w:ascii="Arial" w:cs="Arial" w:eastAsia="Arial" w:hAnsi="Arial"/>
          <w:b w:val="false"/>
          <w:bCs w:val="false"/>
          <w:i w:val="false"/>
          <w:iCs w:val="false"/>
          <w:sz w:val="22"/>
          <w:szCs w:val="22"/>
        </w:rPr>
        <w:t xml:space="preserve">Marketing-stage Account creation is conditional on company information being available. The rule is deterministic and applies to all CR-MARKETING input pathways:</w:t>
      </w:r>
    </w:p>
    <w:p>
      <w:pPr>
        <w:pStyle w:val="ListParagraph"/>
        <w:numPr>
          <w:ilvl w:val="0"/>
          <w:numId w:val="2"/>
        </w:numPr>
        <w:spacing w:after="60"/>
      </w:pPr>
      <w:r>
        <w:rPr>
          <w:rFonts w:ascii="Arial" w:cs="Arial" w:eastAsia="Arial" w:hAnsi="Arial"/>
          <w:b w:val="false"/>
          <w:bCs w:val="false"/>
          <w:i w:val="false"/>
          <w:iCs w:val="false"/>
          <w:sz w:val="22"/>
          <w:szCs w:val="22"/>
        </w:rPr>
        <w:t xml:space="preserve">All input forms collect company name and company website as optional fields. The fields are always offered but never required.</w:t>
      </w:r>
    </w:p>
    <w:p>
      <w:pPr>
        <w:pStyle w:val="ListParagraph"/>
        <w:numPr>
          <w:ilvl w:val="0"/>
          <w:numId w:val="2"/>
        </w:numPr>
        <w:spacing w:after="60"/>
      </w:pPr>
      <w:r>
        <w:rPr>
          <w:rFonts w:ascii="Arial" w:cs="Arial" w:eastAsia="Arial" w:hAnsi="Arial"/>
          <w:b w:val="false"/>
          <w:bCs w:val="false"/>
          <w:i w:val="false"/>
          <w:iCs w:val="false"/>
          <w:sz w:val="22"/>
          <w:szCs w:val="22"/>
        </w:rPr>
        <w:t xml:space="preserve">If either company name or website (or both) is provided, the system creates or links an Account using the matching precedence ladder below, and links the Contact to the Account.</w:t>
      </w:r>
    </w:p>
    <w:p>
      <w:pPr>
        <w:pStyle w:val="ListParagraph"/>
        <w:numPr>
          <w:ilvl w:val="0"/>
          <w:numId w:val="2"/>
        </w:numPr>
        <w:spacing w:after="60"/>
      </w:pPr>
      <w:r>
        <w:rPr>
          <w:rFonts w:ascii="Arial" w:cs="Arial" w:eastAsia="Arial" w:hAnsi="Arial"/>
          <w:b w:val="false"/>
          <w:bCs w:val="false"/>
          <w:i w:val="false"/>
          <w:iCs w:val="false"/>
          <w:sz w:val="22"/>
          <w:szCs w:val="22"/>
        </w:rPr>
        <w:t xml:space="preserve">If neither company name nor website is provided, the system creates only the Contact record. The Contact has no Account link. This is a fully supported state, not an error.</w:t>
      </w:r>
    </w:p>
    <w:p>
      <w:pPr>
        <w:spacing w:after="120"/>
      </w:pPr>
      <w:r>
        <w:rPr>
          <w:rFonts w:ascii="Arial" w:cs="Arial" w:eastAsia="Arial" w:hAnsi="Arial"/>
          <w:b w:val="false"/>
          <w:bCs w:val="false"/>
          <w:i w:val="false"/>
          <w:iCs w:val="false"/>
          <w:sz w:val="22"/>
          <w:szCs w:val="22"/>
        </w:rPr>
        <w:t xml:space="preserve">Account matching uses a two-step precedence ladder. The website domain is the only signal trusted for automatic linking, because automatically linking a Contact to the wrong company is a confidentiality and data-integrity risk that outweighs the cleanup cost of occasional duplicate Accounts. A company name string that happens to match an existing Account name may legitimately belong to a different company with the same name, and the system cannot distinguish the two cases without the website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Match Type</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Action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Website domain match</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If the incoming Contact provides a website value and the normalized domain (lowercase, protocol stripped, leading www stripped) matches an existing Account’s native website field, link the Contact to that Account automatically. The website domain is used because it uniquely identifies the company a person actually works for: a contact who lists “Acme Plumbing” with acmeplumbing.com is the same company as the existing Acme Plumbing Account regardless of name variation.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Manual or new</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If no website match exists, the system creates a new Account record. New Accounts created at the prospect stage are initialized with accountType including Client and clientStatus = Prospect. The system does not surface name-based or fuzzy-match suggestions during creation, because automatically linking on a name match risks merging Contacts into the wrong company when two unrelated firms share a name. The Client Recruiter locates and merges any resulting duplicate Accounts as part of routine data hygiene, using the CRM’s native search and list tools.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native Account.website field is the basis for automatic matching. No new fields are added to support this rule — it operates on the existing field and the existing Contact-Account relationship. The Contact entity does not need a separate “company website” field because the website value is captured during the import or form submission, used to find or create the matching Account, and stored on the Account where it natively belongs.</w:t>
      </w:r>
    </w:p>
    <w:p>
      <w:pPr>
        <w:spacing w:after="120"/>
      </w:pPr>
      <w:r>
        <w:rPr>
          <w:rFonts w:ascii="Arial" w:cs="Arial" w:eastAsia="Arial" w:hAnsi="Arial"/>
          <w:b w:val="false"/>
          <w:bCs w:val="false"/>
          <w:i w:val="false"/>
          <w:iCs w:val="false"/>
          <w:sz w:val="22"/>
          <w:szCs w:val="22"/>
        </w:rPr>
        <w:t xml:space="preserve">Multi-contact-per-company detection runs at three points in the Client Recruiter’s workflow: (1) at list-import time, where each row is matched against existing Accounts before the import completes and ambiguous cases are surfaced for resolution; (2) at list-segmentation time, where reports and saved searches identify Accounts with multiple prospect Contacts so the Client Recruiter can target one Contact per Account when desired; and (3) on single-record creation through web forms or manual entry, where the same matching rules run so ad-hoc additions also trigger Account linking. Detailed workflow requirements belong in CR-MARKETING-CONTACTS.</w:t>
      </w:r>
    </w:p>
    <w:p>
      <w:pPr>
        <w:pStyle w:val="Heading2"/>
        <w:spacing w:after="120" w:before="240"/>
      </w:pPr>
      <w:r>
        <w:rPr>
          <w:rFonts w:ascii="Arial" w:cs="Arial" w:eastAsia="Arial" w:hAnsi="Arial"/>
          <w:b/>
          <w:bCs/>
          <w:i w:val="false"/>
          <w:iCs w:val="false"/>
          <w:sz w:val="28"/>
          <w:szCs w:val="28"/>
        </w:rPr>
        <w:t xml:space="preserve">4.4 Universal Contact-Creation Rules</w:t>
      </w:r>
    </w:p>
    <w:p>
      <w:pPr>
        <w:spacing w:after="120"/>
      </w:pPr>
      <w:r>
        <w:rPr>
          <w:rFonts w:ascii="Arial" w:cs="Arial" w:eastAsia="Arial" w:hAnsi="Arial"/>
          <w:b w:val="false"/>
          <w:bCs w:val="false"/>
          <w:i w:val="false"/>
          <w:iCs w:val="false"/>
          <w:sz w:val="22"/>
          <w:szCs w:val="22"/>
        </w:rPr>
        <w:t xml:space="preserve">The Account creation and matching rules described above are part of a broader principle that applies to Contact creation across the entire CRM, not just to CR-MARKETING. This Sub-Domain Overview formalizes the rule because CR-MARKETING is where it first becomes operationally critical, but the rule is CRM-wide and other sub-domain documents (CR-EVENTS, MR domain, FU domain, and any future Contact-creation pathway) must follow it.</w:t>
      </w:r>
    </w:p>
    <w:p>
      <w:pPr>
        <w:spacing w:after="120"/>
      </w:pPr>
      <w:r>
        <w:rPr>
          <w:rFonts w:ascii="Arial" w:cs="Arial" w:eastAsia="Arial" w:hAnsi="Arial"/>
          <w:b w:val="false"/>
          <w:bCs w:val="false"/>
          <w:i w:val="false"/>
          <w:iCs w:val="false"/>
          <w:sz w:val="22"/>
          <w:szCs w:val="22"/>
        </w:rPr>
        <w:t xml:space="preserve">The rule has five parts:</w:t>
      </w:r>
    </w:p>
    <w:p>
      <w:pPr>
        <w:spacing w:after="120"/>
      </w:pPr>
      <w:r>
        <w:rPr>
          <w:rFonts w:ascii="Arial" w:cs="Arial" w:eastAsia="Arial" w:hAnsi="Arial"/>
          <w:b/>
          <w:bCs/>
          <w:i w:val="false"/>
          <w:iCs w:val="false"/>
          <w:sz w:val="22"/>
          <w:szCs w:val="22"/>
        </w:rPr>
        <w:t xml:space="preserve">Rule 1 — Optional company information on every form. </w:t>
      </w:r>
      <w:r>
        <w:rPr>
          <w:rFonts w:ascii="Arial" w:cs="Arial" w:eastAsia="Arial" w:hAnsi="Arial"/>
          <w:b w:val="false"/>
          <w:bCs w:val="false"/>
          <w:i w:val="false"/>
          <w:iCs w:val="false"/>
          <w:sz w:val="22"/>
          <w:szCs w:val="22"/>
        </w:rPr>
        <w:t xml:space="preserve">Every Contact-creation form (web inquiry, event registration, mentor application, partner contact intake, donor signup, etc.) presents two optional fields: company name and company website. The fields are always offered, never required. If either is provided, the Account precedence ladder runs. If neither is provided, an Account-less Contact is created.</w:t>
      </w:r>
    </w:p>
    <w:p>
      <w:pPr>
        <w:spacing w:after="120"/>
      </w:pPr>
      <w:r>
        <w:rPr>
          <w:rFonts w:ascii="Arial" w:cs="Arial" w:eastAsia="Arial" w:hAnsi="Arial"/>
          <w:b/>
          <w:bCs/>
          <w:i w:val="false"/>
          <w:iCs w:val="false"/>
          <w:sz w:val="22"/>
          <w:szCs w:val="22"/>
        </w:rPr>
        <w:t xml:space="preserve">Rule 2 — Hardcoded contactType per form. </w:t>
      </w:r>
      <w:r>
        <w:rPr>
          <w:rFonts w:ascii="Arial" w:cs="Arial" w:eastAsia="Arial" w:hAnsi="Arial"/>
          <w:b w:val="false"/>
          <w:bCs w:val="false"/>
          <w:i w:val="false"/>
          <w:iCs w:val="false"/>
          <w:sz w:val="22"/>
          <w:szCs w:val="22"/>
        </w:rPr>
        <w:t xml:space="preserve">The contactType for Contacts created through a given form is determined by the form’s configuration, not selected by the person filling it out. A mentor application form creates Contacts with contactType = Mentor. A client inquiry form creates Contacts with contactType = Client. A partner contact intake form creates Contacts with contactType = Partner. The form’s purpose is encoded in its configuration.</w:t>
      </w:r>
    </w:p>
    <w:p>
      <w:pPr>
        <w:spacing w:after="120"/>
      </w:pPr>
      <w:r>
        <w:rPr>
          <w:rFonts w:ascii="Arial" w:cs="Arial" w:eastAsia="Arial" w:hAnsi="Arial"/>
          <w:b/>
          <w:bCs/>
          <w:i w:val="false"/>
          <w:iCs w:val="false"/>
          <w:sz w:val="22"/>
          <w:szCs w:val="22"/>
        </w:rPr>
        <w:t xml:space="preserve">Rule 3 — CSV imports require explicit contactType assignment. </w:t>
      </w:r>
      <w:r>
        <w:rPr>
          <w:rFonts w:ascii="Arial" w:cs="Arial" w:eastAsia="Arial" w:hAnsi="Arial"/>
          <w:b w:val="false"/>
          <w:bCs w:val="false"/>
          <w:i w:val="false"/>
          <w:iCs w:val="false"/>
          <w:sz w:val="22"/>
          <w:szCs w:val="22"/>
        </w:rPr>
        <w:t xml:space="preserve">Bulk CSV imports support two patterns. (a) Per-import selection: the operator selects the contactType that applies to all rows in the import. (b) Per-row column: the CSV file contains a contactType column and each row’s value is read from it (for mixed-type imports). The system supports both. Per-import selection is the simpler default; per-row column is needed when source data is mixed.</w:t>
      </w:r>
    </w:p>
    <w:p>
      <w:pPr>
        <w:spacing w:after="120"/>
      </w:pPr>
      <w:r>
        <w:rPr>
          <w:rFonts w:ascii="Arial" w:cs="Arial" w:eastAsia="Arial" w:hAnsi="Arial"/>
          <w:b/>
          <w:bCs/>
          <w:i w:val="false"/>
          <w:iCs w:val="false"/>
          <w:sz w:val="22"/>
          <w:szCs w:val="22"/>
        </w:rPr>
        <w:t xml:space="preserve">Rule 4 — contactType determines type-specific creation logic. </w:t>
      </w:r>
      <w:r>
        <w:rPr>
          <w:rFonts w:ascii="Arial" w:cs="Arial" w:eastAsia="Arial" w:hAnsi="Arial"/>
          <w:b w:val="false"/>
          <w:bCs w:val="false"/>
          <w:i w:val="false"/>
          <w:iCs w:val="false"/>
          <w:sz w:val="22"/>
          <w:szCs w:val="22"/>
        </w:rPr>
        <w:t xml:space="preserve">Once a Contact is created with a known contactType, type-specific business logic runs as appropriate. Client contacts get prospectStatus initialized. Mentor contacts get mentorStatus initialized to Prospect (existing MR domain rule). Partner contacts enter the Partner Coordinator’s workflow. The Universal Contact-Creation Rules are the entry point; type-specific logic runs after.</w:t>
      </w:r>
    </w:p>
    <w:p>
      <w:pPr>
        <w:spacing w:after="120"/>
      </w:pPr>
      <w:r>
        <w:rPr>
          <w:rFonts w:ascii="Arial" w:cs="Arial" w:eastAsia="Arial" w:hAnsi="Arial"/>
          <w:b/>
          <w:bCs/>
          <w:i w:val="false"/>
          <w:iCs w:val="false"/>
          <w:sz w:val="22"/>
          <w:szCs w:val="22"/>
        </w:rPr>
        <w:t xml:space="preserve">Rule 5 — Account matching is contactType-agnostic. </w:t>
      </w:r>
      <w:r>
        <w:rPr>
          <w:rFonts w:ascii="Arial" w:cs="Arial" w:eastAsia="Arial" w:hAnsi="Arial"/>
          <w:b w:val="false"/>
          <w:bCs w:val="false"/>
          <w:i w:val="false"/>
          <w:iCs w:val="false"/>
          <w:sz w:val="22"/>
          <w:szCs w:val="22"/>
        </w:rPr>
        <w:t xml:space="preserve">The Account precedence ladder (website match → manual or new) runs the same way regardless of the Contact’s contactType. A Mentor whose employer also happens to be a CBM Client is correctly linked to the same Account that holds the Client Contact when the website domain matches. The Account then carries multiple Contacts of different contactType values, reflecting the multiple kinds of relationships CBM has with people at that company. This is consistent with the multiEnum accountType pattern (an Account can be both Client and Partner) and the multiEnum contactType pattern (a person can be both Mentor and Partner) already established in the data model.</w:t>
      </w:r>
    </w:p>
    <w:p>
      <w:pPr>
        <w:pStyle w:val="Heading2"/>
        <w:spacing w:after="120" w:before="240"/>
      </w:pPr>
      <w:r>
        <w:rPr>
          <w:rFonts w:ascii="Arial" w:cs="Arial" w:eastAsia="Arial" w:hAnsi="Arial"/>
          <w:b/>
          <w:bCs/>
          <w:i w:val="false"/>
          <w:iCs w:val="false"/>
          <w:sz w:val="28"/>
          <w:szCs w:val="28"/>
        </w:rPr>
        <w:t xml:space="preserve">4.5 Marketing Platform Integration</w:t>
      </w:r>
    </w:p>
    <w:p>
      <w:pPr>
        <w:spacing w:after="120"/>
      </w:pPr>
      <w:r>
        <w:rPr>
          <w:rFonts w:ascii="Arial" w:cs="Arial" w:eastAsia="Arial" w:hAnsi="Arial"/>
          <w:b w:val="false"/>
          <w:bCs w:val="false"/>
          <w:i w:val="false"/>
          <w:iCs w:val="false"/>
          <w:sz w:val="22"/>
          <w:szCs w:val="22"/>
        </w:rPr>
        <w:t xml:space="preserve">The CRM is the single source of truth for all contacts known to CBM. Contact data flows from the CRM to the external marketing platform, which serves purely as a delivery and content authoring tool. The marketing platform never creates or modifies Contact records. Three narrow exceptions allow specific signals to flow back from the marketing platform to the CRM, all sharing the common shape of “the marketing platform reports facts that only it knows.”</w:t>
      </w:r>
    </w:p>
    <w:p>
      <w:pPr>
        <w:pStyle w:val="Heading3"/>
        <w:spacing w:after="120" w:before="240"/>
      </w:pPr>
      <w:r>
        <w:rPr>
          <w:rFonts w:ascii="Arial" w:cs="Arial" w:eastAsia="Arial" w:hAnsi="Arial"/>
          <w:b/>
          <w:bCs/>
          <w:i w:val="false"/>
          <w:iCs w:val="false"/>
          <w:sz w:val="24"/>
          <w:szCs w:val="24"/>
        </w:rPr>
        <w:t xml:space="preserve">Direction of contact data flow</w:t>
      </w:r>
    </w:p>
    <w:p>
      <w:pPr>
        <w:spacing w:after="120"/>
      </w:pPr>
      <w:r>
        <w:rPr>
          <w:rFonts w:ascii="Arial" w:cs="Arial" w:eastAsia="Arial" w:hAnsi="Arial"/>
          <w:b w:val="false"/>
          <w:bCs w:val="false"/>
          <w:i w:val="false"/>
          <w:iCs w:val="false"/>
          <w:sz w:val="22"/>
          <w:szCs w:val="22"/>
        </w:rPr>
        <w:t xml:space="preserve">Contact records flow strictly one-way from the CRM to the marketing platform. All Contact creation happens through CRM-controlled pathways governed by the Universal Contact-Creation Rules. Any subscribe widgets or signup forms used by CBM must be CRM-hosted (writing directly to the CRM), not marketing-platform-hosted. The marketing platform receives contact data but cannot push new contacts back.</w:t>
      </w:r>
    </w:p>
    <w:p>
      <w:pPr>
        <w:pStyle w:val="Heading3"/>
        <w:spacing w:after="120" w:before="240"/>
      </w:pPr>
      <w:r>
        <w:rPr>
          <w:rFonts w:ascii="Arial" w:cs="Arial" w:eastAsia="Arial" w:hAnsi="Arial"/>
          <w:b/>
          <w:bCs/>
          <w:i w:val="false"/>
          <w:iCs w:val="false"/>
          <w:sz w:val="24"/>
          <w:szCs w:val="24"/>
        </w:rPr>
        <w:t xml:space="preserve">Sync payload</w:t>
      </w:r>
    </w:p>
    <w:p>
      <w:pPr>
        <w:spacing w:after="120"/>
      </w:pPr>
      <w:r>
        <w:rPr>
          <w:rFonts w:ascii="Arial" w:cs="Arial" w:eastAsia="Arial" w:hAnsi="Arial"/>
          <w:b w:val="false"/>
          <w:bCs w:val="false"/>
          <w:i w:val="false"/>
          <w:iCs w:val="false"/>
          <w:sz w:val="22"/>
          <w:szCs w:val="22"/>
        </w:rPr>
        <w:t xml:space="preserve">The CRM synchronizes the following Contact fields to the marketing platform:</w:t>
      </w:r>
    </w:p>
    <w:p>
      <w:pPr>
        <w:pStyle w:val="ListParagraph"/>
        <w:numPr>
          <w:ilvl w:val="0"/>
          <w:numId w:val="2"/>
        </w:numPr>
        <w:spacing w:after="60"/>
      </w:pPr>
      <w:r>
        <w:rPr>
          <w:rFonts w:ascii="Arial" w:cs="Arial" w:eastAsia="Arial" w:hAnsi="Arial"/>
          <w:b/>
          <w:bCs/>
          <w:i w:val="false"/>
          <w:iCs w:val="false"/>
          <w:sz w:val="22"/>
          <w:szCs w:val="22"/>
        </w:rPr>
        <w:t xml:space="preserve">Identity and delivery: </w:t>
      </w:r>
      <w:r>
        <w:rPr>
          <w:rFonts w:ascii="Arial" w:cs="Arial" w:eastAsia="Arial" w:hAnsi="Arial"/>
          <w:b w:val="false"/>
          <w:bCs w:val="false"/>
          <w:i w:val="false"/>
          <w:iCs w:val="false"/>
          <w:sz w:val="22"/>
          <w:szCs w:val="22"/>
        </w:rPr>
        <w:t xml:space="preserve">first name, last name, email address, phone number</w:t>
      </w:r>
    </w:p>
    <w:p>
      <w:pPr>
        <w:pStyle w:val="ListParagraph"/>
        <w:numPr>
          <w:ilvl w:val="0"/>
          <w:numId w:val="2"/>
        </w:numPr>
        <w:spacing w:after="60"/>
      </w:pPr>
      <w:r>
        <w:rPr>
          <w:rFonts w:ascii="Arial" w:cs="Arial" w:eastAsia="Arial" w:hAnsi="Arial"/>
          <w:b/>
          <w:bCs/>
          <w:i w:val="false"/>
          <w:iCs w:val="false"/>
          <w:sz w:val="22"/>
          <w:szCs w:val="22"/>
        </w:rPr>
        <w:t xml:space="preserve">Person-level segmentation: </w:t>
      </w:r>
      <w:r>
        <w:rPr>
          <w:rFonts w:ascii="Arial" w:cs="Arial" w:eastAsia="Arial" w:hAnsi="Arial"/>
          <w:b w:val="false"/>
          <w:bCs w:val="false"/>
          <w:i w:val="false"/>
          <w:iCs w:val="false"/>
          <w:sz w:val="22"/>
          <w:szCs w:val="22"/>
        </w:rPr>
        <w:t xml:space="preserve">contactType, prospectStatus, city, state, zip code, howDidYouHearAboutCbm</w:t>
      </w:r>
    </w:p>
    <w:p>
      <w:pPr>
        <w:pStyle w:val="ListParagraph"/>
        <w:numPr>
          <w:ilvl w:val="0"/>
          <w:numId w:val="2"/>
        </w:numPr>
        <w:spacing w:after="60"/>
      </w:pPr>
      <w:r>
        <w:rPr>
          <w:rFonts w:ascii="Arial" w:cs="Arial" w:eastAsia="Arial" w:hAnsi="Arial"/>
          <w:b/>
          <w:bCs/>
          <w:i w:val="false"/>
          <w:iCs w:val="false"/>
          <w:sz w:val="22"/>
          <w:szCs w:val="22"/>
        </w:rPr>
        <w:t xml:space="preserve">Company-level segmentation (from linked Account when present): </w:t>
      </w:r>
      <w:r>
        <w:rPr>
          <w:rFonts w:ascii="Arial" w:cs="Arial" w:eastAsia="Arial" w:hAnsi="Arial"/>
          <w:b w:val="false"/>
          <w:bCs w:val="false"/>
          <w:i w:val="false"/>
          <w:iCs w:val="false"/>
          <w:sz w:val="22"/>
          <w:szCs w:val="22"/>
        </w:rPr>
        <w:t xml:space="preserve">Account name, Account industry / NAICS</w:t>
      </w:r>
    </w:p>
    <w:p>
      <w:pPr>
        <w:pStyle w:val="ListParagraph"/>
        <w:numPr>
          <w:ilvl w:val="0"/>
          <w:numId w:val="2"/>
        </w:numPr>
        <w:spacing w:after="60"/>
      </w:pPr>
      <w:r>
        <w:rPr>
          <w:rFonts w:ascii="Arial" w:cs="Arial" w:eastAsia="Arial" w:hAnsi="Arial"/>
          <w:b/>
          <w:bCs/>
          <w:i w:val="false"/>
          <w:iCs w:val="false"/>
          <w:sz w:val="22"/>
          <w:szCs w:val="22"/>
        </w:rPr>
        <w:t xml:space="preserve">Compliance: </w:t>
      </w:r>
      <w:r>
        <w:rPr>
          <w:rFonts w:ascii="Arial" w:cs="Arial" w:eastAsia="Arial" w:hAnsi="Arial"/>
          <w:b w:val="false"/>
          <w:bCs w:val="false"/>
          <w:i w:val="false"/>
          <w:iCs w:val="false"/>
          <w:sz w:val="22"/>
          <w:szCs w:val="22"/>
        </w:rPr>
        <w:t xml:space="preserve">emailOptOut, smsOptOut</w:t>
      </w:r>
    </w:p>
    <w:p>
      <w:pPr>
        <w:spacing w:after="120"/>
      </w:pPr>
      <w:r>
        <w:rPr>
          <w:rFonts w:ascii="Arial" w:cs="Arial" w:eastAsia="Arial" w:hAnsi="Arial"/>
          <w:b w:val="false"/>
          <w:bCs w:val="false"/>
          <w:i w:val="false"/>
          <w:iCs w:val="false"/>
          <w:sz w:val="22"/>
          <w:szCs w:val="22"/>
        </w:rPr>
        <w:t xml:space="preserve">Phone number is included because SMS is in scope as a delivery channel for marketing reminders. The introduction of SMS brings TCPA compliance requirements alongside the existing CAN-SPAM email requirements; detailed compliance handling belongs in CR-MARKETING-CAMPAIGNS.</w:t>
      </w:r>
    </w:p>
    <w:p>
      <w:pPr>
        <w:spacing w:after="120"/>
      </w:pPr>
      <w:r>
        <w:rPr>
          <w:rFonts w:ascii="Arial" w:cs="Arial" w:eastAsia="Arial" w:hAnsi="Arial"/>
          <w:b w:val="false"/>
          <w:bCs w:val="false"/>
          <w:i w:val="false"/>
          <w:iCs w:val="false"/>
          <w:sz w:val="22"/>
          <w:szCs w:val="22"/>
        </w:rPr>
        <w:t xml:space="preserve">Internal CBM notes, type-specific fields not needed for segmentation (mentor-specific, partner-specific, donor-specific fields), and any field not on the list above are excluded from sync. The marketing platform never receives data it does not need to deliver and segment campaigns.</w:t>
      </w:r>
    </w:p>
    <w:p>
      <w:pPr>
        <w:pStyle w:val="Heading3"/>
        <w:spacing w:after="120" w:before="240"/>
      </w:pPr>
      <w:r>
        <w:rPr>
          <w:rFonts w:ascii="Arial" w:cs="Arial" w:eastAsia="Arial" w:hAnsi="Arial"/>
          <w:b/>
          <w:bCs/>
          <w:i w:val="false"/>
          <w:iCs w:val="false"/>
          <w:sz w:val="24"/>
          <w:szCs w:val="24"/>
        </w:rPr>
        <w:t xml:space="preserve">Opt-out handling</w:t>
      </w:r>
    </w:p>
    <w:p>
      <w:pPr>
        <w:spacing w:after="120"/>
      </w:pPr>
      <w:r>
        <w:rPr>
          <w:rFonts w:ascii="Arial" w:cs="Arial" w:eastAsia="Arial" w:hAnsi="Arial"/>
          <w:b w:val="false"/>
          <w:bCs w:val="false"/>
          <w:i w:val="false"/>
          <w:iCs w:val="false"/>
          <w:sz w:val="22"/>
          <w:szCs w:val="22"/>
        </w:rPr>
        <w:t xml:space="preserve">The marketing platform records unsubscribe events from email-client-native unsubscribe headers, in-message unsubscribe links, and direct user actions, then pushes them back to the CRM as a narrow compliance-only signal. This is the first of three exceptions to the strict one-way sync principle. The CRM stores opt-out status on the Contact record using two separate per-channel fields, emailOptOut and smsOptOut, because the legal compliance regimes are different (CAN-SPAM for email, TCPA for SMS) and a contact may legitimately want to receive one channel but not the other. Once either flag is set on a Contact, that channel is suppressed for that Contact in all future syncs to the marketing platform.</w:t>
      </w:r>
    </w:p>
    <w:p>
      <w:pPr>
        <w:pStyle w:val="Heading3"/>
        <w:spacing w:after="120" w:before="240"/>
      </w:pPr>
      <w:r>
        <w:rPr>
          <w:rFonts w:ascii="Arial" w:cs="Arial" w:eastAsia="Arial" w:hAnsi="Arial"/>
          <w:b/>
          <w:bCs/>
          <w:i w:val="false"/>
          <w:iCs w:val="false"/>
          <w:sz w:val="24"/>
          <w:szCs w:val="24"/>
        </w:rPr>
        <w:t xml:space="preserve">Sync triggers and timing</w:t>
      </w:r>
    </w:p>
    <w:p>
      <w:pPr>
        <w:spacing w:after="120"/>
      </w:pPr>
      <w:r>
        <w:rPr>
          <w:rFonts w:ascii="Arial" w:cs="Arial" w:eastAsia="Arial" w:hAnsi="Arial"/>
          <w:b w:val="false"/>
          <w:bCs w:val="false"/>
          <w:i w:val="false"/>
          <w:iCs w:val="false"/>
          <w:sz w:val="22"/>
          <w:szCs w:val="22"/>
        </w:rPr>
        <w:t xml:space="preserve">Sync from CRM to marketing platform follows a hybrid pattern: a scheduled regular sync runs in the background to keep the marketing platform reasonably current, and the Client Recruiter can also trigger an on-demand sync at any time, particularly before launching an important campaign, to ensure the marketing platform has the latest CRM data. The exact scheduled interval is an implementation choice.</w:t>
      </w:r>
    </w:p>
    <w:p>
      <w:pPr>
        <w:spacing w:after="120"/>
      </w:pPr>
      <w:r>
        <w:rPr>
          <w:rFonts w:ascii="Arial" w:cs="Arial" w:eastAsia="Arial" w:hAnsi="Arial"/>
          <w:b w:val="false"/>
          <w:bCs w:val="false"/>
          <w:i w:val="false"/>
          <w:iCs w:val="false"/>
          <w:sz w:val="22"/>
          <w:szCs w:val="22"/>
        </w:rPr>
        <w:t xml:space="preserve">The opt-out signal flowing back from the marketing platform to the CRM follows a near-real-time or frequent-polling pattern. Opt-out events must propagate quickly enough that a contact who unsubscribed from one campaign does not receive a different campaign sent later the same day. The exact polling interval is an implementation choice.</w:t>
      </w:r>
    </w:p>
    <w:p>
      <w:pPr>
        <w:pStyle w:val="Heading3"/>
        <w:spacing w:after="120" w:before="240"/>
      </w:pPr>
      <w:r>
        <w:rPr>
          <w:rFonts w:ascii="Arial" w:cs="Arial" w:eastAsia="Arial" w:hAnsi="Arial"/>
          <w:b/>
          <w:bCs/>
          <w:i w:val="false"/>
          <w:iCs w:val="false"/>
          <w:sz w:val="24"/>
          <w:szCs w:val="24"/>
        </w:rPr>
        <w:t xml:space="preserve">Engagement history flowing back</w:t>
      </w:r>
    </w:p>
    <w:p>
      <w:pPr>
        <w:spacing w:after="120"/>
      </w:pPr>
      <w:r>
        <w:rPr>
          <w:rFonts w:ascii="Arial" w:cs="Arial" w:eastAsia="Arial" w:hAnsi="Arial"/>
          <w:b w:val="false"/>
          <w:bCs w:val="false"/>
          <w:i w:val="false"/>
          <w:iCs w:val="false"/>
          <w:sz w:val="22"/>
          <w:szCs w:val="22"/>
        </w:rPr>
        <w:t xml:space="preserve">Per-recipient campaign engagement (sends, opens, clicks, bounces) flows back from the marketing platform to the CRM and is stored as Campaign Engagement records, one record per Contact per Campaign. Aggregate roll-up fields are also maintained on the Contact entity (last marketing engagement date, total campaigns sent, total opens, total clicks) so the Client Recruiter can see prospect-level engagement summaries without traversing the Campaign Engagement records. This is the second of three exceptions to the strict one-way sync principle.</w:t>
      </w:r>
    </w:p>
    <w:p>
      <w:pPr>
        <w:pStyle w:val="Heading3"/>
        <w:spacing w:after="120" w:before="240"/>
      </w:pPr>
      <w:r>
        <w:rPr>
          <w:rFonts w:ascii="Arial" w:cs="Arial" w:eastAsia="Arial" w:hAnsi="Arial"/>
          <w:b/>
          <w:bCs/>
          <w:i w:val="false"/>
          <w:iCs w:val="false"/>
          <w:sz w:val="24"/>
          <w:szCs w:val="24"/>
        </w:rPr>
        <w:t xml:space="preserve">Campaign metadata flowing back</w:t>
      </w:r>
    </w:p>
    <w:p>
      <w:pPr>
        <w:spacing w:after="120"/>
      </w:pPr>
      <w:r>
        <w:rPr>
          <w:rFonts w:ascii="Arial" w:cs="Arial" w:eastAsia="Arial" w:hAnsi="Arial"/>
          <w:b w:val="false"/>
          <w:bCs w:val="false"/>
          <w:i w:val="false"/>
          <w:iCs w:val="false"/>
          <w:sz w:val="22"/>
          <w:szCs w:val="22"/>
        </w:rPr>
        <w:t xml:space="preserve">When a campaign sends in the marketing platform, aggregate metrics (recipient count, total opens, total clicks, etc.) flow back to update the corresponding CRM Campaign record. The CRM Campaign record’s status also transitions through its lifecycle (Draft → Scheduled → Sent → Complete) based on send results from the marketing platform. This is the third of three exceptions to the strict one-way sync principle.</w:t>
      </w:r>
    </w:p>
    <w:p>
      <w:pPr>
        <w:pStyle w:val="Heading3"/>
        <w:spacing w:after="120" w:before="240"/>
      </w:pPr>
      <w:r>
        <w:rPr>
          <w:rFonts w:ascii="Arial" w:cs="Arial" w:eastAsia="Arial" w:hAnsi="Arial"/>
          <w:b/>
          <w:bCs/>
          <w:i w:val="false"/>
          <w:iCs w:val="false"/>
          <w:sz w:val="24"/>
          <w:szCs w:val="24"/>
        </w:rPr>
        <w:t xml:space="preserve">Common shape of the three exceptions</w:t>
      </w:r>
    </w:p>
    <w:p>
      <w:pPr>
        <w:spacing w:after="120"/>
      </w:pPr>
      <w:r>
        <w:rPr>
          <w:rFonts w:ascii="Arial" w:cs="Arial" w:eastAsia="Arial" w:hAnsi="Arial"/>
          <w:b w:val="false"/>
          <w:bCs w:val="false"/>
          <w:i w:val="false"/>
          <w:iCs w:val="false"/>
          <w:sz w:val="22"/>
          <w:szCs w:val="22"/>
        </w:rPr>
        <w:t xml:space="preserve">All three exceptions to the one-way sync follow a common rule: the marketing platform reports back facts that only it can know (compliance state, recipient-level engagement, send results). The marketing platform never creates Contact records, never modifies Contact fields outside of opt-out flags, never creates Campaign metadata, and never modifies Campaign planning fields. The CRM remains authoritative for everything except the operational facts the marketing platform observes.</w:t>
      </w:r>
    </w:p>
    <w:p>
      <w:pPr>
        <w:pStyle w:val="Heading2"/>
        <w:spacing w:after="120" w:before="240"/>
      </w:pPr>
      <w:r>
        <w:rPr>
          <w:rFonts w:ascii="Arial" w:cs="Arial" w:eastAsia="Arial" w:hAnsi="Arial"/>
          <w:b/>
          <w:bCs/>
          <w:i w:val="false"/>
          <w:iCs w:val="false"/>
          <w:sz w:val="28"/>
          <w:szCs w:val="28"/>
        </w:rPr>
        <w:t xml:space="preserve">4.6 Campaign Tracking Model</w:t>
      </w:r>
    </w:p>
    <w:p>
      <w:pPr>
        <w:spacing w:after="120"/>
      </w:pPr>
      <w:r>
        <w:rPr>
          <w:rFonts w:ascii="Arial" w:cs="Arial" w:eastAsia="Arial" w:hAnsi="Arial"/>
          <w:b w:val="false"/>
          <w:bCs w:val="false"/>
          <w:i w:val="false"/>
          <w:iCs w:val="false"/>
          <w:sz w:val="22"/>
          <w:szCs w:val="22"/>
        </w:rPr>
        <w:t xml:space="preserve">A Campaign in the CRM represents a single outbound send. One email blast is one Campaign record. One SMS blast is one Campaign record. This granularity matches the level at which engagement metrics, audience targeting, and channel attribution are meaningful.</w:t>
      </w:r>
    </w:p>
    <w:p>
      <w:pPr>
        <w:spacing w:after="120"/>
      </w:pPr>
      <w:r>
        <w:rPr>
          <w:rFonts w:ascii="Arial" w:cs="Arial" w:eastAsia="Arial" w:hAnsi="Arial"/>
          <w:b w:val="false"/>
          <w:bCs w:val="false"/>
          <w:i w:val="false"/>
          <w:iCs w:val="false"/>
          <w:sz w:val="22"/>
          <w:szCs w:val="22"/>
        </w:rPr>
        <w:t xml:space="preserve">Coordinated multi-touch efforts that span multiple sends (e.g., a “Spring 2026 Awareness Push” that includes three emails and an SMS reminder) can be grouped via the optional Campaign Group entity. A Campaign Group is a lightweight parent record holding name, description, start date, end date, and a one-to-many relationship to Campaign. Aggregate metrics roll up from child Campaigns to the parent Campaign Group. Grouping is optional — standalone Campaigns that do not belong to a coordinated effort have no Campaign Group link.</w:t>
      </w:r>
    </w:p>
    <w:p>
      <w:pPr>
        <w:spacing w:after="120"/>
      </w:pPr>
      <w:r>
        <w:rPr>
          <w:rFonts w:ascii="Arial" w:cs="Arial" w:eastAsia="Arial" w:hAnsi="Arial"/>
          <w:b w:val="false"/>
          <w:bCs w:val="false"/>
          <w:i w:val="false"/>
          <w:iCs w:val="false"/>
          <w:sz w:val="22"/>
          <w:szCs w:val="22"/>
        </w:rPr>
        <w:t xml:space="preserve">Campaign records originate in the CRM following a hybrid metadata-versus-content division of responsibility. The CRM owns campaign metadata, planning, and reporting (name, channel, target segment, planned send date, status, aggregate metrics, optional Campaign Group link). The marketing platform owns campaign content (subject line, body copy, design, templates, sender configuration, scheduling logic). The Client Recruiter creates a lightweight Campaign placeholder in the CRM first, then authors content in the marketing platform and triggers the actual send. After the send, aggregate metrics flow back from the marketing platform to update the CRM Campaign record (see Section 4.5).</w:t>
      </w:r>
    </w:p>
    <w:p>
      <w:pPr>
        <w:spacing w:after="120"/>
      </w:pPr>
      <w:r>
        <w:rPr>
          <w:rFonts w:ascii="Arial" w:cs="Arial" w:eastAsia="Arial" w:hAnsi="Arial"/>
          <w:b w:val="false"/>
          <w:bCs w:val="false"/>
          <w:i w:val="false"/>
          <w:iCs w:val="false"/>
          <w:sz w:val="22"/>
          <w:szCs w:val="22"/>
        </w:rPr>
        <w:t xml:space="preserve">The Campaign record carries a status field whose value list and transition rules will be specified in CR-MARKETING-CAMPAIGNS. At minimum the lifecycle includes Draft, Scheduled, Sent, and Complete states; Cancelled is also likely.</w:t>
      </w:r>
    </w:p>
    <w:p>
      <w:pPr>
        <w:pStyle w:val="Heading2"/>
        <w:spacing w:after="120" w:before="240"/>
      </w:pPr>
      <w:r>
        <w:rPr>
          <w:rFonts w:ascii="Arial" w:cs="Arial" w:eastAsia="Arial" w:hAnsi="Arial"/>
          <w:b/>
          <w:bCs/>
          <w:i w:val="false"/>
          <w:iCs w:val="false"/>
          <w:sz w:val="28"/>
          <w:szCs w:val="28"/>
        </w:rPr>
        <w:t xml:space="preserve">4.7 Application Source Attribution</w:t>
      </w:r>
    </w:p>
    <w:p>
      <w:pPr>
        <w:spacing w:after="120"/>
      </w:pPr>
      <w:r>
        <w:rPr>
          <w:rFonts w:ascii="Arial" w:cs="Arial" w:eastAsia="Arial" w:hAnsi="Arial"/>
          <w:b w:val="false"/>
          <w:bCs w:val="false"/>
          <w:i w:val="false"/>
          <w:iCs w:val="false"/>
          <w:sz w:val="22"/>
          <w:szCs w:val="22"/>
        </w:rPr>
        <w:t xml:space="preserve">Application source attribution is the CR domain’s only contribution after the application boundary. Once a prospect submits an application, MN-INTAKE owns the lifecycle, but the source channel is recorded so CR can measure channel effectiveness across its four sub-domains.</w:t>
      </w:r>
    </w:p>
    <w:p>
      <w:pPr>
        <w:spacing w:after="120"/>
      </w:pPr>
      <w:r>
        <w:rPr>
          <w:rFonts w:ascii="Arial" w:cs="Arial" w:eastAsia="Arial" w:hAnsi="Arial"/>
          <w:b w:val="false"/>
          <w:bCs w:val="false"/>
          <w:i w:val="false"/>
          <w:iCs w:val="false"/>
          <w:sz w:val="22"/>
          <w:szCs w:val="22"/>
        </w:rPr>
        <w:t xml:space="preserve">Attribution uses a two-field design on the Contact entity:</w:t>
      </w:r>
    </w:p>
    <w:p>
      <w:pPr>
        <w:spacing w:after="120"/>
      </w:pPr>
      <w:r>
        <w:rPr>
          <w:rFonts w:ascii="Arial" w:cs="Arial" w:eastAsia="Arial" w:hAnsi="Arial"/>
          <w:b/>
          <w:bCs/>
          <w:i w:val="false"/>
          <w:iCs w:val="false"/>
          <w:sz w:val="22"/>
          <w:szCs w:val="22"/>
        </w:rPr>
        <w:t xml:space="preserve">howDidYouHearAboutCbm </w:t>
      </w:r>
      <w:r>
        <w:rPr>
          <w:rFonts w:ascii="Arial" w:cs="Arial" w:eastAsia="Arial" w:hAnsi="Arial"/>
          <w:b w:val="false"/>
          <w:bCs w:val="false"/>
          <w:i w:val="false"/>
          <w:iCs w:val="false"/>
          <w:sz w:val="22"/>
          <w:szCs w:val="22"/>
        </w:rPr>
        <w:t xml:space="preserve">— the existing structured enum field on Contact, with the value list finalized by this Sub-Domain Overview (closes CON-ISS-008). This is the authoritative field for reporting and segmentation. Values are limited and controlled.</w:t>
      </w:r>
    </w:p>
    <w:p>
      <w:pPr>
        <w:spacing w:after="120"/>
      </w:pPr>
      <w:r>
        <w:rPr>
          <w:rFonts w:ascii="Arial" w:cs="Arial" w:eastAsia="Arial" w:hAnsi="Arial"/>
          <w:b/>
          <w:bCs/>
          <w:i w:val="false"/>
          <w:iCs w:val="false"/>
          <w:sz w:val="22"/>
          <w:szCs w:val="22"/>
        </w:rPr>
        <w:t xml:space="preserve">sourceAttributionDetails </w:t>
      </w:r>
      <w:r>
        <w:rPr>
          <w:rFonts w:ascii="Arial" w:cs="Arial" w:eastAsia="Arial" w:hAnsi="Arial"/>
          <w:b w:val="false"/>
          <w:bCs w:val="false"/>
          <w:i w:val="false"/>
          <w:iCs w:val="false"/>
          <w:sz w:val="22"/>
          <w:szCs w:val="22"/>
        </w:rPr>
        <w:t xml:space="preserve">— a new free-text or wysiwyg field on Contact that captures supplementary unstructured detail. Holds UTM parameters and referrer URLs when technical signals are available; specific partner names when “Partner Referral” is selected; specific event names when “Workshop or Event” is selected; staff notes from application review; and audit-trail entries when staff override prior values. Used for human review and attribution enrichment, not for structured reporting.</w:t>
      </w:r>
    </w:p>
    <w:p>
      <w:pPr>
        <w:spacing w:after="120"/>
      </w:pPr>
      <w:r>
        <w:rPr>
          <w:rFonts w:ascii="Arial" w:cs="Arial" w:eastAsia="Arial" w:hAnsi="Arial"/>
          <w:b w:val="false"/>
          <w:bCs w:val="false"/>
          <w:i w:val="false"/>
          <w:iCs w:val="false"/>
          <w:sz w:val="22"/>
          <w:szCs w:val="22"/>
        </w:rPr>
        <w:t xml:space="preserve">The howDidYouHearAboutCbm enum has ten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w:t>
            </w:r>
          </w:p>
        </w:tc>
        <w:tc>
          <w:tcPr>
            <w:tcW w:type="dxa" w:w="5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Channel Description</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Sub-Domain Rollup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Referral</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Referred by a CBM partner organization. The specific partner name goes in sourceAttributionDetails.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Workshop or Event</w:t>
            </w:r>
          </w:p>
        </w:tc>
        <w:tc>
          <w:tcPr>
            <w:tcW w:type="dxa" w:w="5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Attended a CBM workshop, seminar, webinar, or other event. The specific event name goes in sourceAttributionDetails.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Marketing</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Received and acted on a CBM email campaign.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Social Media</w:t>
            </w:r>
          </w:p>
        </w:tc>
        <w:tc>
          <w:tcPr>
            <w:tcW w:type="dxa" w:w="5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Saw CBM on Facebook, LinkedIn, Instagram, or other social platforms.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Search Engine</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Found CBM via Google or other search engine.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Website</w:t>
            </w:r>
          </w:p>
        </w:tc>
        <w:tc>
          <w:tcPr>
            <w:tcW w:type="dxa" w:w="5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Came directly to the CBM website without an identifiable referrer.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News or Media</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Saw CBM in a news story, podcast, radio segment, op-ed, or press coverage.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Personal Referral</w:t>
            </w:r>
          </w:p>
        </w:tc>
        <w:tc>
          <w:tcPr>
            <w:tcW w:type="dxa" w:w="5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Referred by a friend, family member, mentor, or current/former CBM client. Distinct from Partner Referral, which is institutional.</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Organic</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Returning Client</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Has previously been a CBM client and is coming back for additional mentoring.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CR-REACTIVATE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Other</w:t>
            </w:r>
          </w:p>
        </w:tc>
        <w:tc>
          <w:tcPr>
            <w:tcW w:type="dxa" w:w="5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Catch-all for channels not covered above. The specific channel goes in sourceAttributionDetails.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Unattributed</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sub-domain rollup column enables channel effectiveness reports that compare partner referrals, marketing campaigns, events, and reactivation outreach in terms of volume and conversion rates — the consolidated oversight function described in the CR Domain Overview Section 3.9.</w:t>
      </w:r>
    </w:p>
    <w:p>
      <w:pPr>
        <w:spacing w:after="120"/>
      </w:pPr>
      <w:r>
        <w:rPr>
          <w:rFonts w:ascii="Arial" w:cs="Arial" w:eastAsia="Arial" w:hAnsi="Arial"/>
          <w:b/>
          <w:bCs/>
          <w:i w:val="false"/>
          <w:iCs w:val="false"/>
          <w:sz w:val="22"/>
          <w:szCs w:val="22"/>
        </w:rPr>
        <w:t xml:space="preserve">Population timing follows a layered authority policy.</w:t>
      </w:r>
    </w:p>
    <w:p>
      <w:pPr>
        <w:spacing w:after="120"/>
      </w:pPr>
      <w:r>
        <w:rPr>
          <w:rFonts w:ascii="Arial" w:cs="Arial" w:eastAsia="Arial" w:hAnsi="Arial"/>
          <w:b/>
          <w:bCs/>
          <w:i w:val="false"/>
          <w:iCs w:val="false"/>
          <w:sz w:val="22"/>
          <w:szCs w:val="22"/>
        </w:rPr>
        <w:t xml:space="preserve">Point 1 (Contact creation): </w:t>
      </w:r>
      <w:r>
        <w:rPr>
          <w:rFonts w:ascii="Arial" w:cs="Arial" w:eastAsia="Arial" w:hAnsi="Arial"/>
          <w:b w:val="false"/>
          <w:bCs w:val="false"/>
          <w:i w:val="false"/>
          <w:iCs w:val="false"/>
          <w:sz w:val="22"/>
          <w:szCs w:val="22"/>
        </w:rPr>
        <w:t xml:space="preserve">When a Contact is created via a pathway where the source is known — partner-supplied list import, event registration, identifiable web inquiry source — the system sets howDidYouHearAboutCbm at creation time.</w:t>
      </w:r>
    </w:p>
    <w:p>
      <w:pPr>
        <w:spacing w:after="120"/>
      </w:pPr>
      <w:r>
        <w:rPr>
          <w:rFonts w:ascii="Arial" w:cs="Arial" w:eastAsia="Arial" w:hAnsi="Arial"/>
          <w:b/>
          <w:bCs/>
          <w:i w:val="false"/>
          <w:iCs w:val="false"/>
          <w:sz w:val="22"/>
          <w:szCs w:val="22"/>
        </w:rPr>
        <w:t xml:space="preserve">Point 2 (application form self-report): </w:t>
      </w:r>
      <w:r>
        <w:rPr>
          <w:rFonts w:ascii="Arial" w:cs="Arial" w:eastAsia="Arial" w:hAnsi="Arial"/>
          <w:b w:val="false"/>
          <w:bCs w:val="false"/>
          <w:i w:val="false"/>
          <w:iCs w:val="false"/>
          <w:sz w:val="22"/>
          <w:szCs w:val="22"/>
        </w:rPr>
        <w:t xml:space="preserve">When the applicant fills out the application form and selects a value, the system writes the self-reported value only if the field is currently blank. It does not overwrite a value set at Point 1. The self-reported value is always captured in sourceAttributionDetails regardless, so the applicant’s answer is never lost.</w:t>
      </w:r>
    </w:p>
    <w:p>
      <w:pPr>
        <w:spacing w:after="120"/>
      </w:pPr>
      <w:r>
        <w:rPr>
          <w:rFonts w:ascii="Arial" w:cs="Arial" w:eastAsia="Arial" w:hAnsi="Arial"/>
          <w:b/>
          <w:bCs/>
          <w:i w:val="false"/>
          <w:iCs w:val="false"/>
          <w:sz w:val="22"/>
          <w:szCs w:val="22"/>
        </w:rPr>
        <w:t xml:space="preserve">Point 3 (Client Administrator review): </w:t>
      </w:r>
      <w:r>
        <w:rPr>
          <w:rFonts w:ascii="Arial" w:cs="Arial" w:eastAsia="Arial" w:hAnsi="Arial"/>
          <w:b w:val="false"/>
          <w:bCs w:val="false"/>
          <w:i w:val="false"/>
          <w:iCs w:val="false"/>
          <w:sz w:val="22"/>
          <w:szCs w:val="22"/>
        </w:rPr>
        <w:t xml:space="preserve">The Client Administrator can override the field at any time during MN-INTAKE review. The override takes precedence over Point 1 and Point 2 values. When Point 3 overrides a prior value, the prior value is preserved in sourceAttributionDetails as an audit-trail entry.</w:t>
      </w:r>
    </w:p>
    <w:p>
      <w:pPr>
        <w:spacing w:after="120"/>
      </w:pPr>
      <w:r>
        <w:rPr>
          <w:rFonts w:ascii="Arial" w:cs="Arial" w:eastAsia="Arial" w:hAnsi="Arial"/>
          <w:b w:val="false"/>
          <w:bCs w:val="false"/>
          <w:i w:val="false"/>
          <w:iCs w:val="false"/>
          <w:sz w:val="22"/>
          <w:szCs w:val="22"/>
        </w:rPr>
        <w:t xml:space="preserve">This policy honors the operational reality that system-known sources are usually more accurate than self-reports, and staff judgment is usually more accurate than either. Self-reports are used only when no better signal exists, and they are never silently lost.</w:t>
      </w:r>
    </w:p>
    <w:p>
      <w:pPr>
        <w:pStyle w:val="Heading2"/>
        <w:spacing w:after="120" w:before="240"/>
      </w:pPr>
      <w:r>
        <w:rPr>
          <w:rFonts w:ascii="Arial" w:cs="Arial" w:eastAsia="Arial" w:hAnsi="Arial"/>
          <w:b/>
          <w:bCs/>
          <w:i w:val="false"/>
          <w:iCs w:val="false"/>
          <w:sz w:val="28"/>
          <w:szCs w:val="28"/>
        </w:rPr>
        <w:t xml:space="preserve">4.8 Contact Entity — New Fields</w:t>
      </w:r>
    </w:p>
    <w:p>
      <w:pPr>
        <w:spacing w:after="120"/>
      </w:pPr>
      <w:r>
        <w:rPr>
          <w:rFonts w:ascii="Arial" w:cs="Arial" w:eastAsia="Arial" w:hAnsi="Arial"/>
          <w:b w:val="false"/>
          <w:bCs w:val="false"/>
          <w:i w:val="false"/>
          <w:iCs w:val="false"/>
          <w:sz w:val="22"/>
          <w:szCs w:val="22"/>
        </w:rPr>
        <w:t xml:space="preserve">The CR-MARKETING sub-domain adds the following fields to the Contact entity. Field-level detail will be formalized in the Contact Entity PRD update (v1.2 → v1.3).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Marketing-funnel state of an individual person. Values TBD (CR-MARKETING-ISS-003). Closes CON-ISS-001 with reframed scope.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sourceAttributionDetails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Supplementary attribution detail beyond the howDidYouHearAboutCbm enum. Holds UTM parameters, specific partner or event names, staff override audit trail.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emailOptOut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marketing opt-out flag. Set by sync from marketing platform on unsubscribe events. Suppresses email channel in subsequent syncs.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smsOptOut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SMS marketing opt-out flag. Set by sync from marketing platform on unsubscribe events. Suppresses SMS channel in subsequent syncs.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lastMarketingEngagement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Roll-up: timestamp of most recent send, open, or click event for this Contact across all Campaigns. Workflow-updated from Campaign Engagement records.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totalCampaignsSent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Roll-up: total count of Campaigns this Contact has been sent. Workflow-updated from Campaign Engagement records.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totalOpens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Roll-up: total count of email opens by this Contact across all Campaigns. Workflow-updated from Campaign Engagement records.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totalClicks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Roll-up: total count of link clicks by this Contact across all Campaigns. Workflow-updated from Campaign Engagement records.</w:t>
            </w:r>
          </w:p>
        </w:tc>
      </w:tr>
    </w:tbl>
    <w:p>
      <w:pPr>
        <w:spacing w:after="120"/>
      </w:pPr>
      <w:r>
        <w:rPr>
          <w:rFonts w:ascii="Arial" w:cs="Arial" w:eastAsia="Arial" w:hAnsi="Arial"/>
          <w:b w:val="false"/>
          <w:bCs w:val="false"/>
          <w:i w:val="false"/>
          <w:iCs w:val="false"/>
          <w:sz w:val="22"/>
          <w:szCs w:val="22"/>
        </w:rPr>
        <w:t xml:space="preserve">The howDidYouHearAboutCbm field already exists on Contact as an enum with TBD values. The CR-MARKETING Sub-Domain Overview finalizes the value list (see Section 4.7) and closes CON-ISS-008.</w:t>
      </w:r>
    </w:p>
    <w:p>
      <w:pPr>
        <w:pStyle w:val="Heading2"/>
        <w:spacing w:after="120" w:before="240"/>
      </w:pPr>
      <w:r>
        <w:rPr>
          <w:rFonts w:ascii="Arial" w:cs="Arial" w:eastAsia="Arial" w:hAnsi="Arial"/>
          <w:b/>
          <w:bCs/>
          <w:i w:val="false"/>
          <w:iCs w:val="false"/>
          <w:sz w:val="28"/>
          <w:szCs w:val="28"/>
        </w:rPr>
        <w:t xml:space="preserve">4.9 Account Entity — New Fields</w:t>
      </w:r>
    </w:p>
    <w:p>
      <w:pPr>
        <w:spacing w:after="120"/>
      </w:pPr>
      <w:r>
        <w:rPr>
          <w:rFonts w:ascii="Arial" w:cs="Arial" w:eastAsia="Arial" w:hAnsi="Arial"/>
          <w:b w:val="false"/>
          <w:bCs w:val="false"/>
          <w:i w:val="false"/>
          <w:iCs w:val="false"/>
          <w:sz w:val="22"/>
          <w:szCs w:val="22"/>
        </w:rPr>
        <w:t xml:space="preserve">The CR-MARKETING sub-domain adds the following field to the Account entity. Field-level detail will be formalized in the Account Entity PRD update (v1.1 →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Client-relationship lifecycle of a client company. Values TBD (CR-MARKETING-ISS-004). Required for Accounts with accountType including Client. Closes ACT-ISS-001.</w:t>
            </w:r>
          </w:p>
        </w:tc>
      </w:tr>
    </w:tbl>
    <w:p>
      <w:pPr>
        <w:spacing w:after="120"/>
      </w:pPr>
      <w:r>
        <w:rPr>
          <w:rFonts w:ascii="Arial" w:cs="Arial" w:eastAsia="Arial" w:hAnsi="Arial"/>
          <w:b w:val="false"/>
          <w:bCs w:val="false"/>
          <w:i w:val="false"/>
          <w:iCs w:val="false"/>
          <w:sz w:val="22"/>
          <w:szCs w:val="22"/>
        </w:rPr>
        <w:t xml:space="preserve">In addition, the existing native Account.website field gains a usage note documenting its role as the basis for prospect-Contact-to-Account matching under the Account Creation and Matching rules in Section 4.3. The field itself is not changed.</w:t>
      </w:r>
    </w:p>
    <w:p>
      <w:pPr>
        <w:pStyle w:val="Heading1"/>
        <w:spacing w:after="120" w:before="360"/>
      </w:pPr>
      <w:r>
        <w:rPr>
          <w:rFonts w:ascii="Arial" w:cs="Arial" w:eastAsia="Arial" w:hAnsi="Arial"/>
          <w:b/>
          <w:bCs/>
          <w:i w:val="false"/>
          <w:iCs w:val="false"/>
          <w:sz w:val="32"/>
          <w:szCs w:val="32"/>
        </w:rPr>
        <w:t xml:space="preserve">5. Cross-Sub-Domain Touchpoints</w:t>
      </w:r>
    </w:p>
    <w:p>
      <w:pPr>
        <w:spacing w:after="120"/>
      </w:pPr>
      <w:r>
        <w:rPr>
          <w:rFonts w:ascii="Arial" w:cs="Arial" w:eastAsia="Arial" w:hAnsi="Arial"/>
          <w:b/>
          <w:bCs/>
          <w:i w:val="false"/>
          <w:iCs w:val="false"/>
          <w:sz w:val="22"/>
          <w:szCs w:val="22"/>
        </w:rPr>
        <w:t xml:space="preserve">CR-PARTNER → CR-MARKETING. </w:t>
      </w:r>
      <w:r>
        <w:rPr>
          <w:rFonts w:ascii="Arial" w:cs="Arial" w:eastAsia="Arial" w:hAnsi="Arial"/>
          <w:b w:val="false"/>
          <w:bCs w:val="false"/>
          <w:i w:val="false"/>
          <w:iCs w:val="false"/>
          <w:sz w:val="22"/>
          <w:szCs w:val="22"/>
        </w:rPr>
        <w:t xml:space="preserve">Partners support joint marketing initiatives through their networks and channels. The Partner Coordinator and Client Recruiter coordinate on campaigns that leverage partner mailing lists, social channels, and outreach networks. This is a coordination activity rather than a formal data linkage. Partner-supplied prospect lists imported into the CRM follow the Universal Contact-Creation Rules and are tagged at creation time with howDidYouHearAboutCbm = Partner Referral and the specific partner name in sourceAttributionDetails.</w:t>
      </w:r>
    </w:p>
    <w:p>
      <w:pPr>
        <w:spacing w:after="120"/>
      </w:pPr>
      <w:r>
        <w:rPr>
          <w:rFonts w:ascii="Arial" w:cs="Arial" w:eastAsia="Arial" w:hAnsi="Arial"/>
          <w:b/>
          <w:bCs/>
          <w:i w:val="false"/>
          <w:iCs w:val="false"/>
          <w:sz w:val="22"/>
          <w:szCs w:val="22"/>
        </w:rPr>
        <w:t xml:space="preserve">CR-MARKETING → CR-EVENTS. </w:t>
      </w:r>
      <w:r>
        <w:rPr>
          <w:rFonts w:ascii="Arial" w:cs="Arial" w:eastAsia="Arial" w:hAnsi="Arial"/>
          <w:b w:val="false"/>
          <w:bCs w:val="false"/>
          <w:i w:val="false"/>
          <w:iCs w:val="false"/>
          <w:sz w:val="22"/>
          <w:szCs w:val="22"/>
        </w:rPr>
        <w:t xml:space="preserve">Marketing campaigns promote events. Event registrants may come from marketing contact lists. Event registration is a Contact-creation pathway in its own right (governed by the Universal Contact-Creation Rules) and produces Contact records with howDidYouHearAboutCbm = Workshop or Event when the registrant is new to the CRM.</w:t>
      </w:r>
    </w:p>
    <w:p>
      <w:pPr>
        <w:spacing w:after="120"/>
      </w:pPr>
      <w:r>
        <w:rPr>
          <w:rFonts w:ascii="Arial" w:cs="Arial" w:eastAsia="Arial" w:hAnsi="Arial"/>
          <w:b/>
          <w:bCs/>
          <w:i w:val="false"/>
          <w:iCs w:val="false"/>
          <w:sz w:val="22"/>
          <w:szCs w:val="22"/>
        </w:rPr>
        <w:t xml:space="preserve">CR-MARKETING-CONTACTS → CR-REACTIVATE. </w:t>
      </w:r>
      <w:r>
        <w:rPr>
          <w:rFonts w:ascii="Arial" w:cs="Arial" w:eastAsia="Arial" w:hAnsi="Arial"/>
          <w:b w:val="false"/>
          <w:bCs w:val="false"/>
          <w:i w:val="false"/>
          <w:iCs w:val="false"/>
          <w:sz w:val="22"/>
          <w:szCs w:val="22"/>
        </w:rPr>
        <w:t xml:space="preserve">Prospects who received marketing outreach but did not convert may be recycled into reactivation segments over time. The handoff is signaled by Contact.prospectStatus values such as Unresponsive and by the absence of recent engagement in the Campaign Engagement roll-up fields.</w:t>
      </w:r>
    </w:p>
    <w:p>
      <w:pPr>
        <w:spacing w:after="120"/>
      </w:pPr>
      <w:r>
        <w:rPr>
          <w:rFonts w:ascii="Arial" w:cs="Arial" w:eastAsia="Arial" w:hAnsi="Arial"/>
          <w:b/>
          <w:bCs/>
          <w:i w:val="false"/>
          <w:iCs w:val="false"/>
          <w:sz w:val="22"/>
          <w:szCs w:val="22"/>
        </w:rPr>
        <w:t xml:space="preserve">CR-MARKETING → MN-INTAKE. </w:t>
      </w:r>
      <w:r>
        <w:rPr>
          <w:rFonts w:ascii="Arial" w:cs="Arial" w:eastAsia="Arial" w:hAnsi="Arial"/>
          <w:b w:val="false"/>
          <w:bCs w:val="false"/>
          <w:i w:val="false"/>
          <w:iCs w:val="false"/>
          <w:sz w:val="22"/>
          <w:szCs w:val="22"/>
        </w:rPr>
        <w:t xml:space="preserve">Application submission is the handoff boundary from the CR domain to the Mentoring domain. When a prospect Contact submits an application, MN-INTAKE updates Account.clientStatus from Prospect to Applicant (or creates a new Account at Applicant), transitions Contact.prospectStatus to Converted, and applies the layered authority policy when writing howDidYouHearAboutCbm. After application submission, CR-MARKETING retains no operational role in the contact — the only ongoing CR contribution is source attribution for channel effectiveness reporting.</w:t>
      </w:r>
    </w:p>
    <w:p>
      <w:pPr>
        <w:spacing w:after="120"/>
      </w:pPr>
      <w:r>
        <w:rPr>
          <w:rFonts w:ascii="Arial" w:cs="Arial" w:eastAsia="Arial" w:hAnsi="Arial"/>
          <w:b/>
          <w:bCs/>
          <w:i w:val="false"/>
          <w:iCs w:val="false"/>
          <w:sz w:val="22"/>
          <w:szCs w:val="22"/>
        </w:rPr>
        <w:t xml:space="preserve">CR-MARKETING (universal) → all other domains. </w:t>
      </w:r>
      <w:r>
        <w:rPr>
          <w:rFonts w:ascii="Arial" w:cs="Arial" w:eastAsia="Arial" w:hAnsi="Arial"/>
          <w:b w:val="false"/>
          <w:bCs w:val="false"/>
          <w:i w:val="false"/>
          <w:iCs w:val="false"/>
          <w:sz w:val="22"/>
          <w:szCs w:val="22"/>
        </w:rPr>
        <w:t xml:space="preserve">The Universal Contact-Creation Rules formalized in Section 4.4 are CRM-wide and apply to every Contact-creation pathway across all domains — not just CR-MARKETING. CR-EVENTS, the MR domain, the FU domain, and any future Contact-creation infrastructure must follow these rules. The Master PRD will be updated to reference this principle so other sub-domain documents can cite it as the source.</w:t>
      </w:r>
    </w:p>
    <w:p>
      <w:pPr>
        <w:pStyle w:val="Heading1"/>
        <w:spacing w:after="120" w:before="360"/>
      </w:pPr>
      <w:r>
        <w:rPr>
          <w:rFonts w:ascii="Arial" w:cs="Arial" w:eastAsia="Arial" w:hAnsi="Arial"/>
          <w:b/>
          <w:bCs/>
          <w:i w:val="false"/>
          <w:iCs w:val="false"/>
          <w:sz w:val="32"/>
          <w:szCs w:val="32"/>
        </w:rPr>
        <w:t xml:space="preserve">6. Updates to Prior Documents</w:t>
      </w:r>
    </w:p>
    <w:p>
      <w:pPr>
        <w:spacing w:after="120"/>
      </w:pPr>
      <w:r>
        <w:rPr>
          <w:rFonts w:ascii="Arial" w:cs="Arial" w:eastAsia="Arial" w:hAnsi="Arial"/>
          <w:b w:val="false"/>
          <w:bCs w:val="false"/>
          <w:i w:val="false"/>
          <w:iCs w:val="false"/>
          <w:sz w:val="22"/>
          <w:szCs w:val="22"/>
        </w:rPr>
        <w:t xml:space="preserve">The CR-MARKETING Sub-Domain Overview surfaces the following updates to upstream documents. These updates should be applied as carry-forward work after this Sub-Domain Overview is committed and before CR-MARKETING-CONTACTS process definition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Update Needed</w:t>
            </w:r>
          </w:p>
        </w:tc>
        <w:tc>
          <w:tcPr>
            <w:tcW w:type="dxa" w:w="3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Rationale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CBM-Master-PRD.docx v2.3</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reference to the Universal Contact-Creation Rules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five-rule principle formalized in Section 4.4 of this Sub-Domain Overview is CRM-wide and applies to every Contact-creation pathway. The Master PRD Operating Model or Scope section should reference it so other domains know to follow it. Bumps Master PRD to v2.4.</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Contact-Entity-PRD.docx v1.2</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eight new fields; finalize howDidYouHearAboutCbm value list; update narrative</w:t>
            </w:r>
          </w:p>
        </w:tc>
        <w:tc>
          <w:tcPr>
            <w:tcW w:type="dxa" w:w="3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Adds prospectStatus (closes CON-ISS-001 with reframed scope), sourceAttributionDetails, emailOptOut, smsOptOut, and four marketing engagement roll-up fields (lastMarketingEngagement, totalCampaignsSent, totalOpens, totalClicks). Finalizes the ten-value howDidYouHearAboutCbm enum (closes CON-ISS-008). Updates Section 1 narrative to remove the statement that client prospects have not yet entered the system. Bumps Contact Entity PRD to v1.3.</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Account-Entity-PRD.docx v1.1</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clientStatus field; add usage note to native website field</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Adds clientStatus enum (closes ACT-ISS-001). Adds a usage note to the existing native website field documenting its role as the basis for prospect-Contact-to-Account matching. Bumps Account Entity PRD to v1.2.</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MN-INTAKE.docx v2.2</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Handle prospect-Contact-already-exists case; perform lifecycle transitions; respect attribution authority policy</w:t>
            </w:r>
          </w:p>
        </w:tc>
        <w:tc>
          <w:tcPr>
            <w:tcW w:type="dxa" w:w="3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Adds requirements for the prospect-to-applicant handoff: when an applicant is already a prospect Contact in the CRM, MN-INTAKE updates the existing Contact rather than creating a new one; transitions the Account.clientStatus from Prospect to Applicant (creating the Account via existing pre-startup naming logic when none exists); transitions Contact.prospectStatus to Converted; respects the layered authority policy when writing howDidYouHearAboutCbm (Point 2 only writes if blank, never overwrites Point 1); supports Client Administrator override with audit-trail capture in sourceAttributionDetails. Closes MN-INTAKE-ISS-002 (which depended on ACT-ISS-001). Bumps MN-INTAKE to v2.3.</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CBM-Domain-Overview-ClientRecruiting.docx v1.0</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Update Section 4.7 open issues table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Marks CON-ISS-001 and ACT-ISS-001 as resolved by this Sub-Domain Overview. Marks CON-ISS-008 as resolved. Notes that ACT-ISS-004 (Geographic Service Area format) is now superseded by CR-MARKETING-ISS-001 (geographic targeting model deferred to stakeholder input) and will be resolved together. Bumps CR Domain Overview to v1.1.</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CBM-Entity-Inventory.docx v1.2</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Resolve Campaign row; add Campaign Group and Campaign Engagement rows</w:t>
            </w:r>
          </w:p>
        </w:tc>
        <w:tc>
          <w:tcPr>
            <w:tcW w:type="dxa" w:w="3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Resolves the existing “Campaign” row to custom Base, owned by CR. Adds new rows for Campaign Group (custom Base, owned by CR) and Campaign Engagement (custom Base, owned by CR). All three Entity PRDs are deferred to Phase 2b after CR-MARKETING-CAMPAIGNS process definition. Notes that ACT-ISS-004 is superseded by CR-MARKETING-ISS-001. Bumps Entity Inventory to v1.3.</w:t>
            </w:r>
          </w:p>
        </w:tc>
      </w:tr>
    </w:tbl>
    <w:p>
      <w:pPr>
        <w:pStyle w:val="Heading1"/>
        <w:spacing w:after="120" w:before="360"/>
      </w:pPr>
      <w:r>
        <w:rPr>
          <w:rFonts w:ascii="Arial" w:cs="Arial" w:eastAsia="Arial" w:hAnsi="Arial"/>
          <w:b/>
          <w:bCs/>
          <w:i w:val="false"/>
          <w:iCs w:val="false"/>
          <w:sz w:val="32"/>
          <w:szCs w:val="32"/>
        </w:rPr>
        <w:t xml:space="preserve">7. Open Issues</w:t>
      </w:r>
    </w:p>
    <w:p>
      <w:pPr>
        <w:spacing w:after="120"/>
      </w:pPr>
      <w:r>
        <w:rPr>
          <w:rFonts w:ascii="Arial" w:cs="Arial" w:eastAsia="Arial" w:hAnsi="Arial"/>
          <w:b w:val="false"/>
          <w:bCs w:val="false"/>
          <w:i w:val="false"/>
          <w:iCs w:val="false"/>
          <w:sz w:val="22"/>
          <w:szCs w:val="22"/>
        </w:rPr>
        <w:t xml:space="preserve">Four new open issues are identified by this Sub-Domain Overview. Two require stakeholder input on operational realities; two require CBM leadership input on value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 ID</w:t>
            </w:r>
          </w:p>
        </w:tc>
        <w:tc>
          <w:tcPr>
            <w:tcW w:type="dxa" w:w="4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CR-MARKETING-ISS-001</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targeting model deferred pending stakeholder input. The Sub-Domain Overview established that Contact and Partner geographic representations must align so the system can answer “is this contact in this partner’s service area,” and that a simple county-level field is insufficient because some partners serve sub-county areas. A Service Area entity approach is one possible solution but raises questions about scale, master list maintenance, and contact tagging that require operational input. Supersedes ACT-ISS-004.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Stakeholder input on partner count, sub-county partner prevalence, master list maintenance approach, and required precision of contact-to-partner matching. Resolution will happen in CR-MARKETING-CONTACTS process definition or as a separate decision point.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CR-MARKETING-ISS-002</w:t>
            </w:r>
          </w:p>
        </w:tc>
        <w:tc>
          <w:tcPr>
            <w:tcW w:type="dxa" w:w="4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Media and PR tracking model deferred pending stakeholder input. The Master PRD lists media coverage tracking as a CR-MARKETING capability, but media coverage is operationally different from campaign sends (no recipient list, no per-recipient engagement). The session explored a separate Media Coverage custom entity approach but did not lock it in.</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Stakeholder input on current media tracking practices, who handles PR at CBM, desired use cases (historical record, source attribution, journalist relationships, pitch tracking), and operational volume. Resolution will happen in CR-MARKETING-CAMPAIGNS process definition.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CR-MARKETING-ISS-003</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Contact.prospectStatus value list TBD pending CBM leadership input. The structure is settled (an enum tracking marketing-funnel state with a terminal Converted value at application). The starting straw man is New Prospect, Engaged, Unresponsive, Converted, Opted Out.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leadership decision on the value list. Resolution will happen in CR-MARKETING-CONTACTS process definition or via direct stakeholder input.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CR-MARKETING-ISS-004</w:t>
            </w:r>
          </w:p>
        </w:tc>
        <w:tc>
          <w:tcPr>
            <w:tcW w:type="dxa" w:w="4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Account.clientStatus value list TBD pending CBM leadership input. The structure is settled (an enum tracking client-relationship state at the Account level, set when an Account is created at the prospect stage or at MN-INTAKE). The starting straw man is Prospect, Applicant, Active Client, On Hold, Former Client.</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leadership decision on the value list. Resolution will happen in CR-MARKETING-CONTACTS process definition or via direct stakeholder input.</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following open issues from upstream documents are carried forward and remain relevant to the CR-MARKETING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 ID</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Source</w:t>
            </w:r>
          </w:p>
        </w:tc>
        <w:tc>
          <w:tcPr>
            <w:tcW w:type="dxa" w:w="5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CON-ISS-004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 Entity PRD</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Contact entity. CR domain fields and relationships continue to be added as CR process documents are completed. CR-MARKETING adds eight new fields and finalizes the howDidYouHearAboutCbm enum, but CR-EVENTS and CR-REACTIVATE may still add fields.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ACT-ISS-002</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 Entity PRD</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Account entity. CR domain fields continue to be added as CR process documents are completed. CR-MARKETING adds clientStatus, but CR-EVENTS and CR-REACTIVATE may still add fields.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ACT-ISS-004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 Entity PRD</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Service Area field format not yet decided. Superseded in scope by CR-MARKETING-ISS-001 (geographic targeting model). The two issues will be resolved together when stakeholder input is available.</w:t>
            </w:r>
          </w:p>
        </w:tc>
      </w:tr>
    </w:tbl>
    <w:p>
      <w:pPr>
        <w:pStyle w:val="Heading1"/>
        <w:spacing w:after="120" w:before="360"/>
      </w:pPr>
      <w:r>
        <w:rPr>
          <w:rFonts w:ascii="Arial" w:cs="Arial" w:eastAsia="Arial" w:hAnsi="Arial"/>
          <w:b/>
          <w:bCs/>
          <w:i w:val="false"/>
          <w:iCs w:val="false"/>
          <w:sz w:val="32"/>
          <w:szCs w:val="32"/>
        </w:rPr>
        <w:t xml:space="preserve">8. Interview Transcript</w:t>
      </w:r>
    </w:p>
    <w:p>
      <w:pPr>
        <w:spacing w:after="120"/>
      </w:pPr>
      <w:r>
        <w:rPr>
          <w:rFonts w:ascii="Arial" w:cs="Arial" w:eastAsia="Arial" w:hAnsi="Arial"/>
          <w:b w:val="false"/>
          <w:bCs w:val="false"/>
          <w:i w:val="false"/>
          <w:iCs w:val="false"/>
          <w:sz w:val="22"/>
          <w:szCs w:val="22"/>
        </w:rPr>
        <w:t xml:space="preserve">The following interview transcript records the questions and decisions made during the CR-MARKETING Sub-Domain Overview session. Decisions are presented in the order they were made.</w:t>
      </w:r>
    </w:p>
    <w:p>
      <w:pPr>
        <w:pStyle w:val="Heading2"/>
        <w:spacing w:after="120" w:before="240"/>
      </w:pPr>
      <w:r>
        <w:rPr>
          <w:rFonts w:ascii="Arial" w:cs="Arial" w:eastAsia="Arial" w:hAnsi="Arial"/>
          <w:b/>
          <w:bCs/>
          <w:i w:val="false"/>
          <w:iCs w:val="false"/>
          <w:sz w:val="28"/>
          <w:szCs w:val="28"/>
        </w:rPr>
        <w:t xml:space="preserve">Prospect Contact Lifecycle</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Contact Entity PRD states that prospects are not Contact records, but the CR Domain Overview and Master PRD both describe the CRM as the single source of truth for prospect contacts. Which is right?</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Prospects ARE Contact records. The Contact Entity PRD statement is the part that needs to change. The Master PRD’s “single source of truth for all contacts known to CBM” is unambiguous — prospects who only exist as marketing list entries are still contacts known to CBM and live in the CRM.</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Prospect contacts ARE Contact records in the CRM. The CRM is the single source of truth for all contacts including prospects. Contact Entity PRD update required to remove the “have not yet entered the system” language.</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the system distinguish a prospect from a client at the data level? A new contactType value, a lifecycle field, or both?</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Lifecycle field on Account is the right answer because client engagements often involve multiple Contacts at the same company, and Contact-level lifecycle creates ambiguity about “the company’s status.” But marketing prospects often have no company at all (pre-startup, idea-stage), so an Account-only model fails for them.</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Two-field model (Option 5). Contact.prospectStatus tracks the marketing-funnel state of an individual person. Account.clientStatus tracks the client-relationship state of a company. The two fields answer two different questions and cannot drift because they measure different things. Handoff at MN-INTAKE: when a prospect Contact submits an application, the linked Account (or a new Account created via existing pre-startup logic) gets clientStatus = Applicant and the Contact’s prospectStatus moves to Converted.</w:t>
      </w:r>
    </w:p>
    <w:p>
      <w:pPr>
        <w:pStyle w:val="Heading2"/>
        <w:spacing w:after="120" w:before="240"/>
      </w:pPr>
      <w:r>
        <w:rPr>
          <w:rFonts w:ascii="Arial" w:cs="Arial" w:eastAsia="Arial" w:hAnsi="Arial"/>
          <w:b/>
          <w:bCs/>
          <w:i w:val="false"/>
          <w:iCs w:val="false"/>
          <w:sz w:val="28"/>
          <w:szCs w:val="28"/>
        </w:rPr>
        <w:t xml:space="preserve">Multi-Contact-Per-Company Detection</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During marketing, the Client Recruiter needs to know when two prospects work at the same company so the same company isn’t blasted with the same generic outreach to multiple people. How should this work?</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All input forms ask for company name and website address. If neither is filled in, no Account is created. If either is filled in, a Contact and an Account are created (or the Contact is linked to an existing Account). Contacts at the same company are detected through the Account link. Detection should happen at list-import time, at list-segmentation time, and on single-record creation.</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If the system has both company name and website, which one drives matching when they could disagree?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Website is the more reliable identifier. A contact who lists “Smith Consulting” with acmeplumbing.com is at Acme Plumbing, not at a different Smith Consulting Account. Website match takes precedence.</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Account matching uses a precedence ladder: website domain match → exact company name match → manual or new. The native Account.website field is the basis for automatic matching. Multi-contact-per-company detection runs at three points (list import, segmentation, single-record creation).</w:t>
      </w:r>
    </w:p>
    <w:p>
      <w:pPr>
        <w:spacing w:after="120"/>
      </w:pPr>
      <w:r>
        <w:rPr>
          <w:rFonts w:ascii="Arial" w:cs="Arial" w:eastAsia="Arial" w:hAnsi="Arial"/>
          <w:b/>
          <w:bCs/>
          <w:i w:val="false"/>
          <w:iCs w:val="false"/>
          <w:sz w:val="22"/>
          <w:szCs w:val="22"/>
        </w:rPr>
        <w:t xml:space="preserve">Editor’s Note (v1.1): </w:t>
      </w:r>
      <w:r>
        <w:rPr>
          <w:rFonts w:ascii="Arial" w:cs="Arial" w:eastAsia="Arial" w:hAnsi="Arial"/>
          <w:b w:val="false"/>
          <w:bCs w:val="false"/>
          <w:i w:val="false"/>
          <w:iCs w:val="false"/>
          <w:sz w:val="22"/>
          <w:szCs w:val="22"/>
        </w:rPr>
        <w:t xml:space="preserve">The precedence ladder above was revised in v1.1 to remove the exact-company-name-match step. The current ladder is two-step: (1) website domain match, (2) manual or new. Automatic linking on a company-name string match was determined to carry an unacceptable confidentiality and data-integrity risk — two unrelated firms can share a name, and the system cannot distinguish them without the website signal. The Client Recruiter handles any resulting duplicate Accounts via routine data hygiene. See revised Section 4.3 and Rule 5 in Section 4.4 for the current rule.</w:t>
      </w:r>
    </w:p>
    <w:p>
      <w:pPr>
        <w:pStyle w:val="Heading2"/>
        <w:spacing w:after="120" w:before="240"/>
      </w:pPr>
      <w:r>
        <w:rPr>
          <w:rFonts w:ascii="Arial" w:cs="Arial" w:eastAsia="Arial" w:hAnsi="Arial"/>
          <w:b/>
          <w:bCs/>
          <w:i w:val="false"/>
          <w:iCs w:val="false"/>
          <w:sz w:val="28"/>
          <w:szCs w:val="28"/>
        </w:rPr>
        <w:t xml:space="preserve">Universal Contact-Creation Rules</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Account-creation rule applies to marketing prospects, but other Contact pathways (mentor applications, partner contacts, donor signups) also need rules. Some mentors are retired and have no company at all. How should the rule generalize?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Every form should have optional company information input. Every form should have a default contact type that is determined by the form, not selected by the user. If the form is recruiting a client contact, it assigns Client and runs client creation logic. Same for mentor and partner forms. CSV imports need to either select a contact type for all rows or include a contact type column in the file.</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Five Universal Contact-Creation Rules apply CRM-wide: (1) optional company fields on every form; (2) hardcoded contactType per form; (3) CSV imports require explicit contactType assignment per-import or per-row; (4) contactType determines type-specific creation logic; (5) Account matching is contactType-agnostic. Master PRD update needed to reference this principle.</w:t>
      </w:r>
    </w:p>
    <w:p>
      <w:pPr>
        <w:pStyle w:val="Heading2"/>
        <w:spacing w:after="120" w:before="240"/>
      </w:pPr>
      <w:r>
        <w:rPr>
          <w:rFonts w:ascii="Arial" w:cs="Arial" w:eastAsia="Arial" w:hAnsi="Arial"/>
          <w:b/>
          <w:bCs/>
          <w:i w:val="false"/>
          <w:iCs w:val="false"/>
          <w:sz w:val="28"/>
          <w:szCs w:val="28"/>
        </w:rPr>
        <w:t xml:space="preserve">Marketing Platform Integration — Direction of Flow</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Contact data flow strictly one-way from the CRM to the marketing platform, or do new contacts created via marketing-platform-hosted forms flow back into the CRM?</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Strict one-way. CRM to marketing platform only. The marketing platform never creates or modifies Contact records. All signup forms must be CRM-hosted.</w:t>
      </w:r>
    </w:p>
    <w:p>
      <w:pPr>
        <w:pStyle w:val="Heading2"/>
        <w:spacing w:after="120" w:before="240"/>
      </w:pPr>
      <w:r>
        <w:rPr>
          <w:rFonts w:ascii="Arial" w:cs="Arial" w:eastAsia="Arial" w:hAnsi="Arial"/>
          <w:b/>
          <w:bCs/>
          <w:i w:val="false"/>
          <w:iCs w:val="false"/>
          <w:sz w:val="28"/>
          <w:szCs w:val="28"/>
        </w:rPr>
        <w:t xml:space="preserve">Marketing Platform Integration — Sync Payload</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email the only delivery channel CBM plans to use through the marketing platform, or are SMS, direct mail, or other channels in scope?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Email and SMS for reminders. No direct mail. Account name and Account industry should sync for company-level segmentation. No additional fields needed; no fields excluded from the proposed list.</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Sync payload includes identity (first name, last name, email, phone), person-level segmentation (contactType, prospectStatus, city/state/zip, howDidYouHearAboutCbm), company-level segmentation (Account name, Account industry/NAICS), and compliance flags (emailOptOut, smsOptOut). SMS in scope brings TCPA compliance alongside CAN-SPAM.</w:t>
      </w:r>
    </w:p>
    <w:p>
      <w:pPr>
        <w:pStyle w:val="Heading2"/>
        <w:spacing w:after="120" w:before="240"/>
      </w:pPr>
      <w:r>
        <w:rPr>
          <w:rFonts w:ascii="Arial" w:cs="Arial" w:eastAsia="Arial" w:hAnsi="Arial"/>
          <w:b/>
          <w:bCs/>
          <w:i w:val="false"/>
          <w:iCs w:val="false"/>
          <w:sz w:val="28"/>
          <w:szCs w:val="28"/>
        </w:rPr>
        <w:t xml:space="preserve">Marketing Platform Integration — Opt-Out Handling</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a contact unsubscribes via the marketing platform, how does the CRM learn about it? Does the marketing platform own opt-out state, or does it sync back to the CRM?</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Opt-out signal flows back to the CRM as a narrow exception to the one-way principle. Per-channel flags (email opt-out and SMS opt-out as separate fields) because the legal compliance regimes are different and a contact may legitimately want one but not the other.</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Two new Contact fields: emailOptOut and smsOptOut. The marketing platform pushes opt-out events back to the CRM near-real-time. Once set, the corresponding channel is suppressed in subsequent syncs.</w:t>
      </w:r>
    </w:p>
    <w:p>
      <w:pPr>
        <w:pStyle w:val="Heading2"/>
        <w:spacing w:after="120" w:before="240"/>
      </w:pPr>
      <w:r>
        <w:rPr>
          <w:rFonts w:ascii="Arial" w:cs="Arial" w:eastAsia="Arial" w:hAnsi="Arial"/>
          <w:b/>
          <w:bCs/>
          <w:i w:val="false"/>
          <w:iCs w:val="false"/>
          <w:sz w:val="28"/>
          <w:szCs w:val="28"/>
        </w:rPr>
        <w:t xml:space="preserve">Marketing Platform Integration — Sync Triggers</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does sync happen — on demand, continuously, or on a schedule?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Hybrid scheduled sync plus manual on-demand override for outbound CRM → marketing platform. Near-real-time for the inbound opt-out signal so contacts who unsubscribed earlier in the day don’t receive a different campaign sent later that day.</w:t>
      </w:r>
    </w:p>
    <w:p>
      <w:pPr>
        <w:pStyle w:val="Heading2"/>
        <w:spacing w:after="120" w:before="240"/>
      </w:pPr>
      <w:r>
        <w:rPr>
          <w:rFonts w:ascii="Arial" w:cs="Arial" w:eastAsia="Arial" w:hAnsi="Arial"/>
          <w:b/>
          <w:bCs/>
          <w:i w:val="false"/>
          <w:iCs w:val="false"/>
          <w:sz w:val="28"/>
          <w:szCs w:val="28"/>
        </w:rPr>
        <w:t xml:space="preserve">Engagement History Model</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granular should engagement history be — every individual event, per-campaign summary, or aggregate roll-ups only?</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Per-campaign summary records (one per Contact per Campaign) with per-recipient send/open/click/bounce tracking. Plus roll-up fields on Contact for last engagement date, total sent, total opens, total clicks. Two new entities: Campaign and Campaign Engagement.</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Pattern B with Pattern C overlay. Campaign Engagement entity holds per-recipient detail. Contact entity gains four roll-up fields. Campaign entity holds the campaign metadata.</w:t>
      </w:r>
    </w:p>
    <w:p>
      <w:pPr>
        <w:pStyle w:val="Heading2"/>
        <w:spacing w:after="120" w:before="240"/>
      </w:pPr>
      <w:r>
        <w:rPr>
          <w:rFonts w:ascii="Arial" w:cs="Arial" w:eastAsia="Arial" w:hAnsi="Arial"/>
          <w:b/>
          <w:bCs/>
          <w:i w:val="false"/>
          <w:iCs w:val="false"/>
          <w:sz w:val="28"/>
          <w:szCs w:val="28"/>
        </w:rPr>
        <w:t xml:space="preserve">Contact List Segmentation</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Are there CRM-side segmentation fields the Client Recruiter needs that aren’t already on the sync payload? Do the agreed fields support all the lists the Client Recruiter needs to build?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additional fields needed. The sync payload fields support all required segmentation.</w:t>
      </w:r>
    </w:p>
    <w:p>
      <w:pPr>
        <w:pStyle w:val="Heading2"/>
        <w:spacing w:after="120" w:before="240"/>
      </w:pPr>
      <w:r>
        <w:rPr>
          <w:rFonts w:ascii="Arial" w:cs="Arial" w:eastAsia="Arial" w:hAnsi="Arial"/>
          <w:b/>
          <w:bCs/>
          <w:i w:val="false"/>
          <w:iCs w:val="false"/>
          <w:sz w:val="28"/>
          <w:szCs w:val="28"/>
        </w:rPr>
        <w:t xml:space="preserve">Application Source Attribution — Population Mechanism</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is howDidYouHearAboutCbm populated — self-reported by the applicant, system-tracked from technical signals, or both?</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Both. Self-report is primary; system-tracked signals supplement. Two-field design: structured howDidYouHearAboutCbm enum for reporting, plus free-text sourceAttributionDetails for unstructured supplementary detail.</w:t>
      </w:r>
    </w:p>
    <w:p>
      <w:pPr>
        <w:pStyle w:val="Heading2"/>
        <w:spacing w:after="120" w:before="240"/>
      </w:pPr>
      <w:r>
        <w:rPr>
          <w:rFonts w:ascii="Arial" w:cs="Arial" w:eastAsia="Arial" w:hAnsi="Arial"/>
          <w:b/>
          <w:bCs/>
          <w:i w:val="false"/>
          <w:iCs w:val="false"/>
          <w:sz w:val="28"/>
          <w:szCs w:val="28"/>
        </w:rPr>
        <w:t xml:space="preserve">Application Source Attribution — Enum Values</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values should howDidYouHearAboutCbm support? Proposed list of 10 values, mutually exclusive, mapping to CR sub-domains for channel rollup reporting.</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10 values are good. They look good — no additions or modifications needed.</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Final 10-value list: Partner Referral, Workshop or Event, Email Marketing, Social Media, Search Engine, CBM Website, News or Media, Personal Referral, Returning Client, Other. Closes CON-ISS-008.</w:t>
      </w:r>
    </w:p>
    <w:p>
      <w:pPr>
        <w:pStyle w:val="Heading2"/>
        <w:spacing w:after="120" w:before="240"/>
      </w:pPr>
      <w:r>
        <w:rPr>
          <w:rFonts w:ascii="Arial" w:cs="Arial" w:eastAsia="Arial" w:hAnsi="Arial"/>
          <w:b/>
          <w:bCs/>
          <w:i w:val="false"/>
          <w:iCs w:val="false"/>
          <w:sz w:val="28"/>
          <w:szCs w:val="28"/>
        </w:rPr>
        <w:t xml:space="preserve">Application Source Attribution — Authority Policy</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the field is set at multiple points (Contact creation, application form, staff review), which write wins?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Layered authority. Point 1 (system known source at Contact creation) beats Point 2 (applicant self-report). Point 2 only writes if the field is currently blank. Point 3 (Client Administrator override) can override anything. Prior values are preserved in sourceAttributionDetails as audit-trail entries when overridden.</w:t>
      </w:r>
    </w:p>
    <w:p>
      <w:pPr>
        <w:pStyle w:val="Heading2"/>
        <w:spacing w:after="120" w:before="240"/>
      </w:pPr>
      <w:r>
        <w:rPr>
          <w:rFonts w:ascii="Arial" w:cs="Arial" w:eastAsia="Arial" w:hAnsi="Arial"/>
          <w:b/>
          <w:bCs/>
          <w:i w:val="false"/>
          <w:iCs w:val="false"/>
          <w:sz w:val="28"/>
          <w:szCs w:val="28"/>
        </w:rPr>
        <w:t xml:space="preserve">Campaign Granularity and Grouping</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counts as a campaign — a single send, a coordinated effort with multiple sends, or a hybrid?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 campaign is a single send. A separate Campaign Group entity supports optional grouping of related campaigns into a coordinated effort for rollup reporting.</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Three custom Base entities: Campaign (one per send), Campaign Group (optional coordination grouping), Campaign Engagement (per-recipient tracking). All deferred to Phase 2b Entity PRDs.</w:t>
      </w:r>
    </w:p>
    <w:p>
      <w:pPr>
        <w:pStyle w:val="Heading2"/>
        <w:spacing w:after="120" w:before="240"/>
      </w:pPr>
      <w:r>
        <w:rPr>
          <w:rFonts w:ascii="Arial" w:cs="Arial" w:eastAsia="Arial" w:hAnsi="Arial"/>
          <w:b/>
          <w:bCs/>
          <w:i w:val="false"/>
          <w:iCs w:val="false"/>
          <w:sz w:val="28"/>
          <w:szCs w:val="28"/>
        </w:rPr>
        <w:t xml:space="preserve">Campaign Origination</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Where do Campaign records originate — in the CRM and pushed to the marketing platform, or in the marketing platform and pulled back?</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Hybrid Pattern D. CRM owns metadata and planning (name, channel, target segment, planned send date, status, aggregate metrics). Marketing platform owns content (subject, body, design, scheduling). The Client Recruiter creates a lightweight Campaign placeholder in the CRM first, then authors content in the marketing platform.</w:t>
      </w:r>
    </w:p>
    <w:p>
      <w:pPr>
        <w:pStyle w:val="Heading2"/>
        <w:spacing w:after="120" w:before="240"/>
      </w:pPr>
      <w:r>
        <w:rPr>
          <w:rFonts w:ascii="Arial" w:cs="Arial" w:eastAsia="Arial" w:hAnsi="Arial"/>
          <w:b/>
          <w:bCs/>
          <w:i w:val="false"/>
          <w:iCs w:val="false"/>
          <w:sz w:val="28"/>
          <w:szCs w:val="28"/>
        </w:rPr>
        <w:t xml:space="preserve">Geographic Targeting</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geographic targeting use a county field, a more granular taxonomy, or something else? Should the same taxonomy apply to both contacts and partners?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County alone is insufficient because some partners serve sub-county areas (neighborhoods, single cities, business districts), and contact-to-partner area resolution requires that both sides use the same coordinate system. Need stakeholder input on partner count, sub-county prevalence, master list maintenance, and required precision before locking the model.</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Geographic targeting model deferred. New open issue CR-MARKETING-ISS-001. Supersedes the existing ACT-ISS-004. No changes to Account or Contact geographic fields in this Sub-Domain Overview.</w:t>
      </w:r>
    </w:p>
    <w:p>
      <w:pPr>
        <w:pStyle w:val="Heading2"/>
        <w:spacing w:after="120" w:before="240"/>
      </w:pPr>
      <w:r>
        <w:rPr>
          <w:rFonts w:ascii="Arial" w:cs="Arial" w:eastAsia="Arial" w:hAnsi="Arial"/>
          <w:b/>
          <w:bCs/>
          <w:i w:val="false"/>
          <w:iCs w:val="false"/>
          <w:sz w:val="28"/>
          <w:szCs w:val="28"/>
        </w:rPr>
        <w:t xml:space="preserve">Media and PR Tracking</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media and PR activity be tracked in the CRM at all, and if so, how? The Master PRD lists it as a key capability.</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Defer pending stakeholder input.</w:t>
      </w:r>
    </w:p>
    <w:p>
      <w:pPr>
        <w:spacing w:after="12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Media and PR tracking deferred. New open issue CR-MARKETING-ISS-002. The “News or Media” value in howDidYouHearAboutCbm remains valid; sourceAttributionDetails can hold free-text descriptions until and unless a structured entity is added.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Sub-Domain Overview — Client Recruiting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Sub-Domain Overview: CR-MARKETING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2026-04-08T03:55:02.587Z</dcterms:created>
  <dcterms:modified xsi:type="dcterms:W3CDTF">2026-04-08T03:55:02.588Z</dcterms:modified>
</cp:coreProperties>
</file>

<file path=docProps/custom.xml><?xml version="1.0" encoding="utf-8"?>
<Properties xmlns="http://schemas.openxmlformats.org/officeDocument/2006/custom-properties" xmlns:vt="http://schemas.openxmlformats.org/officeDocument/2006/docPropsVTypes"/>
</file>