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Arial" w:cs="Arial" w:eastAsia="Arial" w:hAnsi="Arial"/>
          <w:b/>
          <w:bCs/>
          <w:i w:val="false"/>
          <w:iCs w:val="false"/>
          <w:color w:val="1F3864"/>
          <w:sz w:val="36"/>
          <w:szCs w:val="36"/>
        </w:rPr>
        <w:t xml:space="preserve">Cleveland Business Mentors</w:t>
      </w:r>
    </w:p>
    <w:p>
      <w:pPr>
        <w:spacing w:after="200"/>
        <w:jc w:val="center"/>
      </w:pPr>
      <w:r>
        <w:rPr>
          <w:rFonts w:ascii="Arial" w:cs="Arial" w:eastAsia="Arial" w:hAnsi="Arial"/>
          <w:b/>
          <w:bCs/>
          <w:i w:val="false"/>
          <w:iCs w:val="false"/>
          <w:color w:val="1F3864"/>
          <w:sz w:val="28"/>
          <w:szCs w:val="28"/>
        </w:rPr>
        <w:t xml:space="preserve">Post-Event Follow-Up and Conversion (CR-EVENTS-CONVERT)</w:t>
      </w:r>
    </w:p>
    <w:p>
      <w:pPr>
        <w:spacing w:after="400"/>
        <w:jc w:val="center"/>
      </w:pPr>
      <w:r>
        <w:rPr>
          <w:rFonts w:ascii="Arial" w:cs="Arial" w:eastAsia="Arial" w:hAnsi="Arial"/>
          <w:b w:val="false"/>
          <w:bCs w:val="false"/>
          <w:i w:val="false"/>
          <w:iCs w:val="false"/>
          <w:sz w:val="22"/>
          <w:szCs w:val="22"/>
        </w:rPr>
        <w:t xml:space="preserve">Process Document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AAAAAA" w:sz="1"/>
              <w:left w:val="single" w:color="AAAAAA" w:sz="1"/>
              <w:bottom w:val="single" w:color="AAAAAA" w:sz="1"/>
              <w:right w:val="single" w:color="AAAAAA" w:sz="1"/>
            </w:tcBorders>
            <w:shd w:fill="E8E8E8" w:val="clear"/>
            <w:tcMar>
              <w:top w:type="dxa" w:w="60"/>
              <w:left w:type="dxa" w:w="100"/>
              <w:bottom w:type="dxa" w:w="60"/>
              <w:right w:type="dxa" w:w="100"/>
            </w:tcMar>
          </w:tcPr>
          <w:p>
            <w:r>
              <w:rPr>
                <w:rFonts w:ascii="Arial" w:cs="Arial" w:eastAsia="Arial" w:hAnsi="Arial"/>
                <w:b/>
                <w:bCs/>
                <w:i w:val="false"/>
                <w:iCs w:val="false"/>
                <w:sz w:val="20"/>
                <w:szCs w:val="20"/>
              </w:rPr>
              <w:t xml:space="preserve">Domain</w:t>
            </w:r>
          </w:p>
        </w:tc>
        <w:tc>
          <w:tcPr>
            <w:tcW w:type="dxa" w:w="69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Client Recruiting (CR)</w:t>
            </w:r>
          </w:p>
        </w:tc>
      </w:tr>
      <w:tr>
        <w:tc>
          <w:tcPr>
            <w:tcW w:type="dxa" w:w="2400"/>
            <w:tcBorders>
              <w:top w:val="single" w:color="AAAAAA" w:sz="1"/>
              <w:left w:val="single" w:color="AAAAAA" w:sz="1"/>
              <w:bottom w:val="single" w:color="AAAAAA" w:sz="1"/>
              <w:right w:val="single" w:color="AAAAAA" w:sz="1"/>
            </w:tcBorders>
            <w:shd w:fill="E8E8E8" w:val="clear"/>
            <w:tcMar>
              <w:top w:type="dxa" w:w="60"/>
              <w:left w:type="dxa" w:w="100"/>
              <w:bottom w:type="dxa" w:w="60"/>
              <w:right w:type="dxa" w:w="100"/>
            </w:tcMar>
          </w:tcPr>
          <w:p>
            <w:r>
              <w:rPr>
                <w:rFonts w:ascii="Arial" w:cs="Arial" w:eastAsia="Arial" w:hAnsi="Arial"/>
                <w:b/>
                <w:bCs/>
                <w:i w:val="false"/>
                <w:iCs w:val="false"/>
                <w:sz w:val="20"/>
                <w:szCs w:val="20"/>
              </w:rPr>
              <w:t xml:space="preserve">Sub-Domain</w:t>
            </w:r>
          </w:p>
        </w:tc>
        <w:tc>
          <w:tcPr>
            <w:tcW w:type="dxa" w:w="69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Workshops and Event Management (CR-EVENTS)</w:t>
            </w:r>
          </w:p>
        </w:tc>
      </w:tr>
      <w:tr>
        <w:tc>
          <w:tcPr>
            <w:tcW w:type="dxa" w:w="2400"/>
            <w:tcBorders>
              <w:top w:val="single" w:color="AAAAAA" w:sz="1"/>
              <w:left w:val="single" w:color="AAAAAA" w:sz="1"/>
              <w:bottom w:val="single" w:color="AAAAAA" w:sz="1"/>
              <w:right w:val="single" w:color="AAAAAA" w:sz="1"/>
            </w:tcBorders>
            <w:shd w:fill="E8E8E8" w:val="clear"/>
            <w:tcMar>
              <w:top w:type="dxa" w:w="60"/>
              <w:left w:type="dxa" w:w="100"/>
              <w:bottom w:type="dxa" w:w="60"/>
              <w:right w:type="dxa" w:w="100"/>
            </w:tcMar>
          </w:tcPr>
          <w:p>
            <w:r>
              <w:rPr>
                <w:rFonts w:ascii="Arial" w:cs="Arial" w:eastAsia="Arial" w:hAnsi="Arial"/>
                <w:b/>
                <w:bCs/>
                <w:i w:val="false"/>
                <w:iCs w:val="false"/>
                <w:sz w:val="20"/>
                <w:szCs w:val="20"/>
              </w:rPr>
              <w:t xml:space="preserve">Process Code</w:t>
            </w:r>
          </w:p>
        </w:tc>
        <w:tc>
          <w:tcPr>
            <w:tcW w:type="dxa" w:w="69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CR-EVENTS-CONVERT</w:t>
            </w:r>
          </w:p>
        </w:tc>
      </w:tr>
      <w:tr>
        <w:tc>
          <w:tcPr>
            <w:tcW w:type="dxa" w:w="2400"/>
            <w:tcBorders>
              <w:top w:val="single" w:color="AAAAAA" w:sz="1"/>
              <w:left w:val="single" w:color="AAAAAA" w:sz="1"/>
              <w:bottom w:val="single" w:color="AAAAAA" w:sz="1"/>
              <w:right w:val="single" w:color="AAAAAA" w:sz="1"/>
            </w:tcBorders>
            <w:shd w:fill="E8E8E8" w:val="clear"/>
            <w:tcMar>
              <w:top w:type="dxa" w:w="60"/>
              <w:left w:type="dxa" w:w="100"/>
              <w:bottom w:type="dxa" w:w="60"/>
              <w:right w:type="dxa" w:w="100"/>
            </w:tcMar>
          </w:tcPr>
          <w:p>
            <w:r>
              <w:rPr>
                <w:rFonts w:ascii="Arial" w:cs="Arial" w:eastAsia="Arial" w:hAnsi="Arial"/>
                <w:b/>
                <w:bCs/>
                <w:i w:val="false"/>
                <w:iCs w:val="false"/>
                <w:sz w:val="20"/>
                <w:szCs w:val="20"/>
              </w:rPr>
              <w:t xml:space="preserve">Version</w:t>
            </w:r>
          </w:p>
        </w:tc>
        <w:tc>
          <w:tcPr>
            <w:tcW w:type="dxa" w:w="69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1.0</w:t>
            </w:r>
          </w:p>
        </w:tc>
      </w:tr>
      <w:tr>
        <w:tc>
          <w:tcPr>
            <w:tcW w:type="dxa" w:w="2400"/>
            <w:tcBorders>
              <w:top w:val="single" w:color="AAAAAA" w:sz="1"/>
              <w:left w:val="single" w:color="AAAAAA" w:sz="1"/>
              <w:bottom w:val="single" w:color="AAAAAA" w:sz="1"/>
              <w:right w:val="single" w:color="AAAAAA" w:sz="1"/>
            </w:tcBorders>
            <w:shd w:fill="E8E8E8" w:val="clear"/>
            <w:tcMar>
              <w:top w:type="dxa" w:w="60"/>
              <w:left w:type="dxa" w:w="100"/>
              <w:bottom w:type="dxa" w:w="60"/>
              <w:right w:type="dxa" w:w="100"/>
            </w:tcMar>
          </w:tcPr>
          <w:p>
            <w:r>
              <w:rPr>
                <w:rFonts w:ascii="Arial" w:cs="Arial" w:eastAsia="Arial" w:hAnsi="Arial"/>
                <w:b/>
                <w:bCs/>
                <w:i w:val="false"/>
                <w:iCs w:val="false"/>
                <w:sz w:val="20"/>
                <w:szCs w:val="20"/>
              </w:rPr>
              <w:t xml:space="preserve">Status</w:t>
            </w:r>
          </w:p>
        </w:tc>
        <w:tc>
          <w:tcPr>
            <w:tcW w:type="dxa" w:w="69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Draft</w:t>
            </w:r>
          </w:p>
        </w:tc>
      </w:tr>
      <w:tr>
        <w:tc>
          <w:tcPr>
            <w:tcW w:type="dxa" w:w="2400"/>
            <w:tcBorders>
              <w:top w:val="single" w:color="AAAAAA" w:sz="1"/>
              <w:left w:val="single" w:color="AAAAAA" w:sz="1"/>
              <w:bottom w:val="single" w:color="AAAAAA" w:sz="1"/>
              <w:right w:val="single" w:color="AAAAAA" w:sz="1"/>
            </w:tcBorders>
            <w:shd w:fill="E8E8E8" w:val="clear"/>
            <w:tcMar>
              <w:top w:type="dxa" w:w="60"/>
              <w:left w:type="dxa" w:w="100"/>
              <w:bottom w:type="dxa" w:w="60"/>
              <w:right w:type="dxa" w:w="100"/>
            </w:tcMar>
          </w:tcPr>
          <w:p>
            <w:r>
              <w:rPr>
                <w:rFonts w:ascii="Arial" w:cs="Arial" w:eastAsia="Arial" w:hAnsi="Arial"/>
                <w:b/>
                <w:bCs/>
                <w:i w:val="false"/>
                <w:iCs w:val="false"/>
                <w:sz w:val="20"/>
                <w:szCs w:val="20"/>
              </w:rPr>
              <w:t xml:space="preserve">Last Updated</w:t>
            </w:r>
          </w:p>
        </w:tc>
        <w:tc>
          <w:tcPr>
            <w:tcW w:type="dxa" w:w="69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04-13-26 16:30</w:t>
            </w:r>
          </w:p>
        </w:tc>
      </w:tr>
      <w:tr>
        <w:tc>
          <w:tcPr>
            <w:tcW w:type="dxa" w:w="2400"/>
            <w:tcBorders>
              <w:top w:val="single" w:color="AAAAAA" w:sz="1"/>
              <w:left w:val="single" w:color="AAAAAA" w:sz="1"/>
              <w:bottom w:val="single" w:color="AAAAAA" w:sz="1"/>
              <w:right w:val="single" w:color="AAAAAA" w:sz="1"/>
            </w:tcBorders>
            <w:shd w:fill="E8E8E8" w:val="clear"/>
            <w:tcMar>
              <w:top w:type="dxa" w:w="60"/>
              <w:left w:type="dxa" w:w="100"/>
              <w:bottom w:type="dxa" w:w="60"/>
              <w:right w:type="dxa" w:w="100"/>
            </w:tcMar>
          </w:tcPr>
          <w:p>
            <w:r>
              <w:rPr>
                <w:rFonts w:ascii="Arial" w:cs="Arial" w:eastAsia="Arial" w:hAnsi="Arial"/>
                <w:b/>
                <w:bCs/>
                <w:i w:val="false"/>
                <w:iCs w:val="false"/>
                <w:sz w:val="20"/>
                <w:szCs w:val="20"/>
              </w:rPr>
              <w:t xml:space="preserve">Depends On</w:t>
            </w:r>
          </w:p>
        </w:tc>
        <w:tc>
          <w:tcPr>
            <w:tcW w:type="dxa" w:w="69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CBM-SubDomain-Overview-Events.docx v1.0, CR-EVENTS-MANAGE.docx v1.0, CBM-SubDomain-Overview-Marketing.docx v1.2, CR-MARKETING-CAMPAIGNS.docx v1.0, CBM-Master-PRD.docx v2.5, Contact-Entity-PRD.docx v1.3, Account-Entity-PRD.docx v1.3, MN-INTAKE.docx v2.3</w:t>
            </w:r>
          </w:p>
        </w:tc>
      </w:tr>
    </w:tbl>
    <w:p>
      <w:r>
        <w:br w:type="page"/>
      </w:r>
    </w:p>
    <w:p>
      <w:pPr>
        <w:pStyle w:val="Heading1"/>
        <w:spacing w:after="120" w:before="360"/>
      </w:pPr>
      <w:r>
        <w:rPr>
          <w:rFonts w:ascii="Arial" w:cs="Arial" w:eastAsia="Arial" w:hAnsi="Arial"/>
          <w:b/>
          <w:bCs/>
          <w:i w:val="false"/>
          <w:iCs w:val="false"/>
          <w:sz w:val="32"/>
          <w:szCs w:val="32"/>
        </w:rPr>
        <w:t xml:space="preserve">1. Process Purpose</w:t>
      </w:r>
    </w:p>
    <w:p>
      <w:pPr>
        <w:spacing w:after="120"/>
      </w:pPr>
      <w:r>
        <w:rPr>
          <w:rFonts w:ascii="Arial" w:cs="Arial" w:eastAsia="Arial" w:hAnsi="Arial"/>
          <w:b w:val="false"/>
          <w:bCs w:val="false"/>
          <w:i w:val="false"/>
          <w:iCs w:val="false"/>
          <w:sz w:val="22"/>
          <w:szCs w:val="22"/>
        </w:rPr>
        <w:t xml:space="preserve">The Post-Event Follow-Up and Conversion process covers what happens after a Cleveland Business Mentors event concludes. It picks up where the Event Lifecycle Management process (CR-EVENTS-MANAGE) ends — once attendance has been recorded on the Event Registration records for a Completed event — and carries the event forward through three distinct operational activities. First, the Content and Event Administrator dispatches automated transactional follow-up communications to attendees and no-shows. Second, over the following weeks and months, the Administrator optionally runs targeted conversion-push outreach to specific unconverted attendees who may be ready to apply for mentoring or attend another event. Third, the process continuously reports on attendee-to-applicant conversion and event effectiveness, and hands off unconverted attendees to the Reactivation sub-domain once the conversion window has expired.</w:t>
      </w:r>
    </w:p>
    <w:p>
      <w:pPr>
        <w:spacing w:after="120"/>
      </w:pPr>
      <w:r>
        <w:rPr>
          <w:rFonts w:ascii="Arial" w:cs="Arial" w:eastAsia="Arial" w:hAnsi="Arial"/>
          <w:b w:val="false"/>
          <w:bCs w:val="false"/>
          <w:i w:val="false"/>
          <w:iCs w:val="false"/>
          <w:sz w:val="22"/>
          <w:szCs w:val="22"/>
        </w:rPr>
        <w:t xml:space="preserve">The process delivers, at its ongoing operational conclusion for any given event, three outcomes: every Attended and No-Show registrant has received an appropriate post-event follow-up communication; every attendee who applied for mentoring within the conversion window has been attributed to the event as a channel-effectiveness data point; and every attendee who did not apply within the window has become available to the Reactivation sub-domain as a warm lead. The process is continuous rather than bounded — it runs as long as events are being delivered and their conversion windows remain open.</w:t>
      </w:r>
    </w:p>
    <w:p>
      <w:pPr>
        <w:spacing w:after="120"/>
      </w:pPr>
      <w:r>
        <w:rPr>
          <w:rFonts w:ascii="Arial" w:cs="Arial" w:eastAsia="Arial" w:hAnsi="Arial"/>
          <w:b w:val="false"/>
          <w:bCs w:val="false"/>
          <w:i w:val="false"/>
          <w:iCs w:val="false"/>
          <w:sz w:val="22"/>
          <w:szCs w:val="22"/>
        </w:rPr>
        <w:t xml:space="preserve">Event creation, registration management, presenter coordination, partner co-sponsorship, attendance recording, and all operational reports owned by CR-EVENTS-MANAGE are out of scope. Event feedback surveys are also out of scope pending the future Survey Service (CR-EVENTS-ISS-001). Application handoff mechanics when an attendee applies belong to MN-INTAKE v2.3; this process detects conversion but does not own the prospect-to-applicant transition. Reactivation outreach execution belongs to the CR-REACTIVATE-OUTREACH process once defined.</w:t>
      </w:r>
    </w:p>
    <w:p>
      <w:pPr>
        <w:pStyle w:val="Heading1"/>
        <w:spacing w:after="120" w:before="360"/>
      </w:pPr>
      <w:r>
        <w:rPr>
          <w:rFonts w:ascii="Arial" w:cs="Arial" w:eastAsia="Arial" w:hAnsi="Arial"/>
          <w:b/>
          <w:bCs/>
          <w:i w:val="false"/>
          <w:iCs w:val="false"/>
          <w:sz w:val="32"/>
          <w:szCs w:val="32"/>
        </w:rPr>
        <w:t xml:space="preserve">2. Process Triggers</w:t>
      </w:r>
    </w:p>
    <w:p>
      <w:pPr>
        <w:spacing w:after="120"/>
      </w:pPr>
      <w:r>
        <w:rPr>
          <w:rFonts w:ascii="Arial" w:cs="Arial" w:eastAsia="Arial" w:hAnsi="Arial"/>
          <w:b w:val="false"/>
          <w:bCs w:val="false"/>
          <w:i w:val="false"/>
          <w:iCs w:val="false"/>
          <w:sz w:val="22"/>
          <w:szCs w:val="22"/>
        </w:rPr>
        <w:t xml:space="preserve">The process is triggered by three distinct conditions, each corresponding to one of its three activity streams.</w:t>
      </w:r>
    </w:p>
    <w:p>
      <w:pPr>
        <w:spacing w:after="40"/>
      </w:pPr>
      <w:r>
        <w:rPr>
          <w:rFonts w:ascii="Arial" w:cs="Arial" w:eastAsia="Arial" w:hAnsi="Arial"/>
          <w:b/>
          <w:bCs/>
          <w:i w:val="false"/>
          <w:iCs w:val="false"/>
          <w:sz w:val="22"/>
          <w:szCs w:val="22"/>
        </w:rPr>
        <w:t xml:space="preserve">Automated follow-up trigger.</w:t>
      </w:r>
    </w:p>
    <w:p>
      <w:pPr>
        <w:spacing w:after="120"/>
      </w:pPr>
      <w:r>
        <w:rPr>
          <w:rFonts w:ascii="Arial" w:cs="Arial" w:eastAsia="Arial" w:hAnsi="Arial"/>
          <w:b w:val="false"/>
          <w:bCs w:val="false"/>
          <w:i w:val="false"/>
          <w:iCs w:val="false"/>
          <w:sz w:val="22"/>
          <w:szCs w:val="22"/>
        </w:rPr>
        <w:t xml:space="preserve">The Content and Event Administrator invokes the Send Post-Event Emails action on an Event detail view. The action is available at any time but is only operationally useful after attendance has been recorded on the Event Registrations for that Event. The action itself is the trigger; there is no scheduled or time-based automatic dispatch. The rationale is deliberate: with Event status transitions fully manual (per CR-EVENTS-MANAGE), no reliable system-visible signal exists for event conclusion, so the Administrator's explicit action is the cleanest trigger.</w:t>
      </w:r>
    </w:p>
    <w:p>
      <w:pPr>
        <w:spacing w:after="40"/>
      </w:pPr>
      <w:r>
        <w:rPr>
          <w:rFonts w:ascii="Arial" w:cs="Arial" w:eastAsia="Arial" w:hAnsi="Arial"/>
          <w:b/>
          <w:bCs/>
          <w:i w:val="false"/>
          <w:iCs w:val="false"/>
          <w:sz w:val="22"/>
          <w:szCs w:val="22"/>
        </w:rPr>
        <w:t xml:space="preserve">Conversion-push outreach trigger.</w:t>
      </w:r>
    </w:p>
    <w:p>
      <w:pPr>
        <w:spacing w:after="120"/>
      </w:pPr>
      <w:r>
        <w:rPr>
          <w:rFonts w:ascii="Arial" w:cs="Arial" w:eastAsia="Arial" w:hAnsi="Arial"/>
          <w:b w:val="false"/>
          <w:bCs w:val="false"/>
          <w:i w:val="false"/>
          <w:iCs w:val="false"/>
          <w:sz w:val="22"/>
          <w:szCs w:val="22"/>
        </w:rPr>
        <w:t xml:space="preserve">The Content and Event Administrator opens the Unconverted Event Attendees saved list, adjusts filters as needed, selects one or more Contacts, and composes a conversion-push message using one of the available templates. The trigger is the Administrator's operational decision to run a conversion-push cycle; cadence and targeting are at the Administrator's discretion.</w:t>
      </w:r>
    </w:p>
    <w:p>
      <w:pPr>
        <w:spacing w:after="40"/>
      </w:pPr>
      <w:r>
        <w:rPr>
          <w:rFonts w:ascii="Arial" w:cs="Arial" w:eastAsia="Arial" w:hAnsi="Arial"/>
          <w:b/>
          <w:bCs/>
          <w:i w:val="false"/>
          <w:iCs w:val="false"/>
          <w:sz w:val="22"/>
          <w:szCs w:val="22"/>
        </w:rPr>
        <w:t xml:space="preserve">Conversion detection and reporting trigger.</w:t>
      </w:r>
    </w:p>
    <w:p>
      <w:pPr>
        <w:spacing w:after="120"/>
      </w:pPr>
      <w:r>
        <w:rPr>
          <w:rFonts w:ascii="Arial" w:cs="Arial" w:eastAsia="Arial" w:hAnsi="Arial"/>
          <w:b w:val="false"/>
          <w:bCs w:val="false"/>
          <w:i w:val="false"/>
          <w:iCs w:val="false"/>
          <w:sz w:val="22"/>
          <w:szCs w:val="22"/>
        </w:rPr>
        <w:t xml:space="preserve">Conversion detection itself has no trigger — it is computed continuously at read time whenever a conversion report or the Contact detail view is displayed. Report consumption is triggered by the Administrator opening the appropriate report.</w:t>
      </w:r>
    </w:p>
    <w:p>
      <w:pPr>
        <w:spacing w:after="40"/>
      </w:pPr>
      <w:r>
        <w:rPr>
          <w:rFonts w:ascii="Arial" w:cs="Arial" w:eastAsia="Arial" w:hAnsi="Arial"/>
          <w:b/>
          <w:bCs/>
          <w:i w:val="false"/>
          <w:iCs w:val="false"/>
          <w:sz w:val="22"/>
          <w:szCs w:val="22"/>
        </w:rPr>
        <w:t xml:space="preserve">Preconditions and required data:</w:t>
      </w:r>
    </w:p>
    <w:p>
      <w:pPr>
        <w:pStyle w:val="ListParagraph"/>
        <w:numPr>
          <w:ilvl w:val="0"/>
          <w:numId w:val="2"/>
        </w:numPr>
        <w:spacing w:after="60"/>
      </w:pPr>
      <w:r>
        <w:rPr>
          <w:rFonts w:ascii="Arial" w:cs="Arial" w:eastAsia="Arial" w:hAnsi="Arial"/>
          <w:b w:val="false"/>
          <w:bCs w:val="false"/>
          <w:i w:val="false"/>
          <w:iCs w:val="false"/>
          <w:sz w:val="22"/>
          <w:szCs w:val="22"/>
        </w:rPr>
        <w:t xml:space="preserve">At least one Event must exist at any post-delivery status with Event Registrations at attendanceStatus = Attended or No-Show before the Send Post-Event Emails action has data to operate on.</w:t>
      </w:r>
    </w:p>
    <w:p>
      <w:pPr>
        <w:pStyle w:val="ListParagraph"/>
        <w:numPr>
          <w:ilvl w:val="0"/>
          <w:numId w:val="2"/>
        </w:numPr>
        <w:spacing w:after="60"/>
      </w:pPr>
      <w:r>
        <w:rPr>
          <w:rFonts w:ascii="Arial" w:cs="Arial" w:eastAsia="Arial" w:hAnsi="Arial"/>
          <w:b w:val="false"/>
          <w:bCs w:val="false"/>
          <w:i w:val="false"/>
          <w:iCs w:val="false"/>
          <w:sz w:val="22"/>
          <w:szCs w:val="22"/>
        </w:rPr>
        <w:t xml:space="preserve">For conversion-push outreach, at least one Contact must meet the unconverted-attendee criteria defined in Section 4.</w:t>
      </w:r>
    </w:p>
    <w:p>
      <w:pPr>
        <w:pStyle w:val="ListParagraph"/>
        <w:numPr>
          <w:ilvl w:val="0"/>
          <w:numId w:val="2"/>
        </w:numPr>
        <w:spacing w:after="60"/>
      </w:pPr>
      <w:r>
        <w:rPr>
          <w:rFonts w:ascii="Arial" w:cs="Arial" w:eastAsia="Arial" w:hAnsi="Arial"/>
          <w:b w:val="false"/>
          <w:bCs w:val="false"/>
          <w:i w:val="false"/>
          <w:iCs w:val="false"/>
          <w:sz w:val="22"/>
          <w:szCs w:val="22"/>
        </w:rPr>
        <w:t xml:space="preserve">For conversion reporting, Account.applicantSince must be populated by MN-INTAKE workflow when an Account’s clientStatus transitions to Applicant. This requirement depends on a targeted update to MN-INTAKE-REQ-011 documented in Section 10.</w:t>
      </w:r>
    </w:p>
    <w:p>
      <w:pPr>
        <w:pStyle w:val="ListParagraph"/>
        <w:numPr>
          <w:ilvl w:val="0"/>
          <w:numId w:val="2"/>
        </w:numPr>
        <w:spacing w:after="60"/>
      </w:pPr>
      <w:r>
        <w:rPr>
          <w:rFonts w:ascii="Arial" w:cs="Arial" w:eastAsia="Arial" w:hAnsi="Arial"/>
          <w:b w:val="false"/>
          <w:bCs w:val="false"/>
          <w:i w:val="false"/>
          <w:iCs w:val="false"/>
          <w:sz w:val="22"/>
          <w:szCs w:val="22"/>
        </w:rPr>
        <w:t xml:space="preserve">The Content and Event Administrator requires permission to update Event Registration records (for the follow-up idempotency field), to read Contact and Account records across the domain, and to send email communications from the dedicated CBM operational events address.</w:t>
      </w:r>
    </w:p>
    <w:p>
      <w:pPr>
        <w:spacing w:after="120"/>
      </w:pPr>
      <w:r>
        <w:rPr>
          <w:rFonts w:ascii="Arial" w:cs="Arial" w:eastAsia="Arial" w:hAnsi="Arial"/>
          <w:b w:val="false"/>
          <w:bCs w:val="false"/>
          <w:i w:val="false"/>
          <w:iCs w:val="false"/>
          <w:sz w:val="22"/>
          <w:szCs w:val="22"/>
        </w:rPr>
        <w:t xml:space="preserve">Initiating persona: Content and Event Administrator (MST-PER-009) for all three activity streams.</w:t>
      </w:r>
    </w:p>
    <w:p>
      <w:pPr>
        <w:pStyle w:val="Heading1"/>
        <w:spacing w:after="120" w:before="360"/>
      </w:pPr>
      <w:r>
        <w:rPr>
          <w:rFonts w:ascii="Arial" w:cs="Arial" w:eastAsia="Arial" w:hAnsi="Arial"/>
          <w:b/>
          <w:bCs/>
          <w:i w:val="false"/>
          <w:iCs w:val="false"/>
          <w:sz w:val="32"/>
          <w:szCs w:val="32"/>
        </w:rPr>
        <w:t xml:space="preserve">3. Personas Involved</w:t>
      </w:r>
    </w:p>
    <w:p>
      <w:pPr>
        <w:spacing w:after="40"/>
      </w:pPr>
      <w:r>
        <w:rPr>
          <w:rFonts w:ascii="Arial" w:cs="Arial" w:eastAsia="Arial" w:hAnsi="Arial"/>
          <w:b/>
          <w:bCs/>
          <w:i w:val="false"/>
          <w:iCs w:val="false"/>
          <w:sz w:val="22"/>
          <w:szCs w:val="22"/>
        </w:rPr>
        <w:t xml:space="preserve">Content and Event Administrator (MST-PER-009) — Primary Operator</w:t>
      </w:r>
    </w:p>
    <w:p>
      <w:pPr>
        <w:spacing w:after="120"/>
      </w:pPr>
      <w:r>
        <w:rPr>
          <w:rFonts w:ascii="Arial" w:cs="Arial" w:eastAsia="Arial" w:hAnsi="Arial"/>
          <w:b w:val="false"/>
          <w:bCs w:val="false"/>
          <w:i w:val="false"/>
          <w:iCs w:val="false"/>
          <w:sz w:val="22"/>
          <w:szCs w:val="22"/>
        </w:rPr>
        <w:t xml:space="preserve">Runs the Send Post-Event Emails action after attendance has been recorded, authors and maintains the follow-up and conversion-push templates, selects and sends conversion-push outreach to targeted unconverted attendees, consumes the conversion and effectiveness reports defined by this process, and owns the process through the point at which unconverted attendees appear on the Reactivation Candidates saved list. Ownership ends at the handoff to the Reactivation sub-domain; after that point, the Client Recruiter owns the relationship.</w:t>
      </w:r>
    </w:p>
    <w:p>
      <w:pPr>
        <w:spacing w:after="40"/>
      </w:pPr>
      <w:r>
        <w:rPr>
          <w:rFonts w:ascii="Arial" w:cs="Arial" w:eastAsia="Arial" w:hAnsi="Arial"/>
          <w:b/>
          <w:bCs/>
          <w:i w:val="false"/>
          <w:iCs w:val="false"/>
          <w:sz w:val="22"/>
          <w:szCs w:val="22"/>
        </w:rPr>
        <w:t xml:space="preserve">Client Recruiter (MST-PER-007) — Downstream Consumer</w:t>
      </w:r>
    </w:p>
    <w:p>
      <w:pPr>
        <w:spacing w:after="120"/>
      </w:pPr>
      <w:r>
        <w:rPr>
          <w:rFonts w:ascii="Arial" w:cs="Arial" w:eastAsia="Arial" w:hAnsi="Arial"/>
          <w:b w:val="false"/>
          <w:bCs w:val="false"/>
          <w:i w:val="false"/>
          <w:iCs w:val="false"/>
          <w:sz w:val="22"/>
          <w:szCs w:val="22"/>
        </w:rPr>
        <w:t xml:space="preserve">Not an operator of this process in any active sense. Consumes the Reactivation Candidates saved list as the input to the CR-REACTIVATE-OUTREACH process. No action the Client Recruiter takes within CR-EVENTS-CONVERT modifies data owned by this process; all modifications happen within CR-REACTIVATE-OUTREACH on records the Reactivation process owns.</w:t>
      </w:r>
    </w:p>
    <w:p>
      <w:pPr>
        <w:spacing w:after="40"/>
      </w:pPr>
      <w:r>
        <w:rPr>
          <w:rFonts w:ascii="Arial" w:cs="Arial" w:eastAsia="Arial" w:hAnsi="Arial"/>
          <w:b/>
          <w:bCs/>
          <w:i w:val="false"/>
          <w:iCs w:val="false"/>
          <w:sz w:val="22"/>
          <w:szCs w:val="22"/>
        </w:rPr>
        <w:t xml:space="preserve">Client Administrator (MST-PER-003) — Handoff Target (External)</w:t>
      </w:r>
    </w:p>
    <w:p>
      <w:pPr>
        <w:spacing w:after="120"/>
      </w:pPr>
      <w:r>
        <w:rPr>
          <w:rFonts w:ascii="Arial" w:cs="Arial" w:eastAsia="Arial" w:hAnsi="Arial"/>
          <w:b w:val="false"/>
          <w:bCs w:val="false"/>
          <w:i w:val="false"/>
          <w:iCs w:val="false"/>
          <w:sz w:val="22"/>
          <w:szCs w:val="22"/>
        </w:rPr>
        <w:t xml:space="preserve">Not an operator of this process. Named only to acknowledge that when a conversion-push recipient (or any event attendee) submits a mentoring application, MN-INTAKE v2.3 routes the application to the Client Administrator through its own mechanisms. This process has no application-handoff requirements of its own.</w:t>
      </w:r>
    </w:p>
    <w:p>
      <w:pPr>
        <w:spacing w:after="40"/>
      </w:pPr>
      <w:r>
        <w:rPr>
          <w:rFonts w:ascii="Arial" w:cs="Arial" w:eastAsia="Arial" w:hAnsi="Arial"/>
          <w:b/>
          <w:bCs/>
          <w:i w:val="false"/>
          <w:iCs w:val="false"/>
          <w:sz w:val="22"/>
          <w:szCs w:val="22"/>
        </w:rPr>
        <w:t xml:space="preserve">Client (MST-PER-013) — Target (External)</w:t>
      </w:r>
    </w:p>
    <w:p>
      <w:pPr>
        <w:spacing w:after="120"/>
      </w:pPr>
      <w:r>
        <w:rPr>
          <w:rFonts w:ascii="Arial" w:cs="Arial" w:eastAsia="Arial" w:hAnsi="Arial"/>
          <w:b w:val="false"/>
          <w:bCs w:val="false"/>
          <w:i w:val="false"/>
          <w:iCs w:val="false"/>
          <w:sz w:val="22"/>
          <w:szCs w:val="22"/>
        </w:rPr>
        <w:t xml:space="preserve">Receives post-event follow-up communications. Recipient of conversion-push outreach when selected. May submit a mentoring application at any time after an event, which this process detects through the Contact-to-Account linkage as described in Section 4. The Client is not an operator; the Client persona represents the person whose engagement the system is measuring and attempting to advance.</w:t>
      </w:r>
    </w:p>
    <w:p>
      <w:pPr>
        <w:pStyle w:val="Heading1"/>
        <w:spacing w:after="120" w:before="360"/>
      </w:pPr>
      <w:r>
        <w:rPr>
          <w:rFonts w:ascii="Arial" w:cs="Arial" w:eastAsia="Arial" w:hAnsi="Arial"/>
          <w:b/>
          <w:bCs/>
          <w:i w:val="false"/>
          <w:iCs w:val="false"/>
          <w:sz w:val="32"/>
          <w:szCs w:val="32"/>
        </w:rPr>
        <w:t xml:space="preserve">4. Process Workflow</w:t>
      </w:r>
    </w:p>
    <w:p>
      <w:pPr>
        <w:spacing w:after="120"/>
      </w:pPr>
      <w:r>
        <w:rPr>
          <w:rFonts w:ascii="Arial" w:cs="Arial" w:eastAsia="Arial" w:hAnsi="Arial"/>
          <w:b w:val="false"/>
          <w:bCs w:val="false"/>
          <w:i w:val="false"/>
          <w:iCs w:val="false"/>
          <w:sz w:val="22"/>
          <w:szCs w:val="22"/>
        </w:rPr>
        <w:t xml:space="preserve">The workflow is organized by the three activity streams. Automated follow-up dispatch runs once per Completed event. Conversion-push outreach runs at the Administrator’s discretion in weekly to monthly cycles. Conversion detection and reporting run continuously and in the background, with reports consumed on demand.</w:t>
      </w:r>
    </w:p>
    <w:p>
      <w:pPr>
        <w:pStyle w:val="Heading2"/>
        <w:spacing w:after="120" w:before="240"/>
      </w:pPr>
      <w:r>
        <w:rPr>
          <w:rFonts w:ascii="Arial" w:cs="Arial" w:eastAsia="Arial" w:hAnsi="Arial"/>
          <w:b/>
          <w:bCs/>
          <w:i w:val="false"/>
          <w:iCs w:val="false"/>
          <w:sz w:val="28"/>
          <w:szCs w:val="28"/>
        </w:rPr>
        <w:t xml:space="preserve">4.1 Automated Post-Event Follow-Up</w:t>
      </w:r>
    </w:p>
    <w:p>
      <w:pPr>
        <w:pStyle w:val="ListParagraph"/>
        <w:numPr>
          <w:ilvl w:val="0"/>
          <w:numId w:val="3"/>
        </w:numPr>
        <w:spacing w:after="80"/>
      </w:pPr>
      <w:r>
        <w:rPr>
          <w:rFonts w:ascii="Arial" w:cs="Arial" w:eastAsia="Arial" w:hAnsi="Arial"/>
          <w:b w:val="false"/>
          <w:bCs w:val="false"/>
          <w:i w:val="false"/>
          <w:iCs w:val="false"/>
          <w:sz w:val="22"/>
          <w:szCs w:val="22"/>
        </w:rPr>
        <w:t xml:space="preserve">After the event has concluded and the Content and Event Administrator has recorded attendance on its Event Registrations through the mechanisms defined in CR-EVENTS-MANAGE, the Administrator opens the Event detail view and invokes the Send Post-Event Emails action.</w:t>
      </w:r>
    </w:p>
    <w:p>
      <w:pPr>
        <w:pStyle w:val="ListParagraph"/>
        <w:numPr>
          <w:ilvl w:val="0"/>
          <w:numId w:val="3"/>
        </w:numPr>
        <w:spacing w:after="80"/>
      </w:pPr>
      <w:r>
        <w:rPr>
          <w:rFonts w:ascii="Arial" w:cs="Arial" w:eastAsia="Arial" w:hAnsi="Arial"/>
          <w:b w:val="false"/>
          <w:bCs w:val="false"/>
          <w:i w:val="false"/>
          <w:iCs w:val="false"/>
          <w:sz w:val="22"/>
          <w:szCs w:val="22"/>
        </w:rPr>
        <w:t xml:space="preserve">The action is always visible on the Event detail view. If the Event’s dateEnd has not yet passed, clicking the action displays an explanatory message stating that post-event emails are not yet available and takes no other action. If dateEnd has passed, the action proceeds.</w:t>
      </w:r>
    </w:p>
    <w:p>
      <w:pPr>
        <w:pStyle w:val="ListParagraph"/>
        <w:numPr>
          <w:ilvl w:val="0"/>
          <w:numId w:val="3"/>
        </w:numPr>
        <w:spacing w:after="80"/>
      </w:pPr>
      <w:r>
        <w:rPr>
          <w:rFonts w:ascii="Arial" w:cs="Arial" w:eastAsia="Arial" w:hAnsi="Arial"/>
          <w:b w:val="false"/>
          <w:bCs w:val="false"/>
          <w:i w:val="false"/>
          <w:iCs w:val="false"/>
          <w:sz w:val="22"/>
          <w:szCs w:val="22"/>
        </w:rPr>
        <w:t xml:space="preserve">The system iterates through every Event Registration linked to the Event. For each Event Registration, the system evaluates attendanceStatus and postEventFollowUpSentAt: if postEventFollowUpSentAt is already populated, the registration is skipped (idempotency); if attendanceStatus is Cancelled, the registration is skipped (cancellations receive no follow-up); if attendanceStatus is Registered, the registration is skipped (attendance was never recorded — the Administrator can record it and re-run the action later).</w:t>
      </w:r>
    </w:p>
    <w:p>
      <w:pPr>
        <w:pStyle w:val="ListParagraph"/>
        <w:numPr>
          <w:ilvl w:val="0"/>
          <w:numId w:val="3"/>
        </w:numPr>
        <w:spacing w:after="80"/>
      </w:pPr>
      <w:r>
        <w:rPr>
          <w:rFonts w:ascii="Arial" w:cs="Arial" w:eastAsia="Arial" w:hAnsi="Arial"/>
          <w:b w:val="false"/>
          <w:bCs w:val="false"/>
          <w:i w:val="false"/>
          <w:iCs w:val="false"/>
          <w:sz w:val="22"/>
          <w:szCs w:val="22"/>
        </w:rPr>
        <w:t xml:space="preserve">For Event Registrations at attendanceStatus = Attended, the system dispatches the Post-Event Thank-You email. The template substitutes Event and Contact variables including Event.name, Event.recordingUrl (if populated and the format is Virtual or Hybrid), Contact.preferredName or firstName, and a standard call-to-action linking to the CBM applications page and to the generic upcoming-events landing page.</w:t>
      </w:r>
    </w:p>
    <w:p>
      <w:pPr>
        <w:pStyle w:val="ListParagraph"/>
        <w:numPr>
          <w:ilvl w:val="0"/>
          <w:numId w:val="3"/>
        </w:numPr>
        <w:spacing w:after="80"/>
      </w:pPr>
      <w:r>
        <w:rPr>
          <w:rFonts w:ascii="Arial" w:cs="Arial" w:eastAsia="Arial" w:hAnsi="Arial"/>
          <w:b w:val="false"/>
          <w:bCs w:val="false"/>
          <w:i w:val="false"/>
          <w:iCs w:val="false"/>
          <w:sz w:val="22"/>
          <w:szCs w:val="22"/>
        </w:rPr>
        <w:t xml:space="preserve">For Event Registrations at attendanceStatus = No-Show, the system dispatches the Post-Event We-Missed-You email. The template substitutes the same Event and Contact variables plus a we-missed-you-specific message and the recording link when available.</w:t>
      </w:r>
    </w:p>
    <w:p>
      <w:pPr>
        <w:pStyle w:val="ListParagraph"/>
        <w:numPr>
          <w:ilvl w:val="0"/>
          <w:numId w:val="3"/>
        </w:numPr>
        <w:spacing w:after="80"/>
      </w:pPr>
      <w:r>
        <w:rPr>
          <w:rFonts w:ascii="Arial" w:cs="Arial" w:eastAsia="Arial" w:hAnsi="Arial"/>
          <w:b w:val="false"/>
          <w:bCs w:val="false"/>
          <w:i w:val="false"/>
          <w:iCs w:val="false"/>
          <w:sz w:val="22"/>
          <w:szCs w:val="22"/>
        </w:rPr>
        <w:t xml:space="preserve">Both templates are transactional by design. The system ignores Contact.emailOptOut for these sends, consistent with the transactional-versus-marketing distinction established in CR-EVENTS-MANAGE for confirmations and reminders. A Contact who has opted out of marketing communications still receives the acknowledgment of an event they registered for and attended or missed.</w:t>
      </w:r>
    </w:p>
    <w:p>
      <w:pPr>
        <w:pStyle w:val="ListParagraph"/>
        <w:numPr>
          <w:ilvl w:val="0"/>
          <w:numId w:val="3"/>
        </w:numPr>
        <w:spacing w:after="80"/>
      </w:pPr>
      <w:r>
        <w:rPr>
          <w:rFonts w:ascii="Arial" w:cs="Arial" w:eastAsia="Arial" w:hAnsi="Arial"/>
          <w:b w:val="false"/>
          <w:bCs w:val="false"/>
          <w:i w:val="false"/>
          <w:iCs w:val="false"/>
          <w:sz w:val="22"/>
          <w:szCs w:val="22"/>
        </w:rPr>
        <w:t xml:space="preserve">For each Event Registration the action dispatches, the system writes postEventFollowUpSentAt with the dispatch timestamp. This field enforces idempotency on subsequent re-runs of the action.</w:t>
      </w:r>
    </w:p>
    <w:p>
      <w:pPr>
        <w:pStyle w:val="ListParagraph"/>
        <w:numPr>
          <w:ilvl w:val="0"/>
          <w:numId w:val="3"/>
        </w:numPr>
        <w:spacing w:after="80"/>
      </w:pPr>
      <w:r>
        <w:rPr>
          <w:rFonts w:ascii="Arial" w:cs="Arial" w:eastAsia="Arial" w:hAnsi="Arial"/>
          <w:b w:val="false"/>
          <w:bCs w:val="false"/>
          <w:i w:val="false"/>
          <w:iCs w:val="false"/>
          <w:sz w:val="22"/>
          <w:szCs w:val="22"/>
        </w:rPr>
        <w:t xml:space="preserve">Hard bounces of post-event follow-up emails are logged to the Event Registration’s lastCommunicationBouncedAt field (defined in CR-EVENTS-MANAGE). The system does not automatically suppress future sends or change Contact state. This pass-through behavior is consistent with CR-EVENTS-MANAGE hard-bounce handling and depends on CR-MARKETING-ISS-004.</w:t>
      </w:r>
    </w:p>
    <w:p>
      <w:pPr>
        <w:pStyle w:val="ListParagraph"/>
        <w:numPr>
          <w:ilvl w:val="0"/>
          <w:numId w:val="3"/>
        </w:numPr>
        <w:spacing w:after="80"/>
      </w:pPr>
      <w:r>
        <w:rPr>
          <w:rFonts w:ascii="Arial" w:cs="Arial" w:eastAsia="Arial" w:hAnsi="Arial"/>
          <w:b w:val="false"/>
          <w:bCs w:val="false"/>
          <w:i w:val="false"/>
          <w:iCs w:val="false"/>
          <w:sz w:val="22"/>
          <w:szCs w:val="22"/>
        </w:rPr>
        <w:t xml:space="preserve">All post-event follow-up emails are sent from the dedicated CBM operational events address configured at implementation time, the same sending address used by CR-EVENTS-MANAGE transactional communications.</w:t>
      </w:r>
    </w:p>
    <w:p>
      <w:pPr>
        <w:pStyle w:val="ListParagraph"/>
        <w:numPr>
          <w:ilvl w:val="0"/>
          <w:numId w:val="3"/>
        </w:numPr>
        <w:spacing w:after="80"/>
      </w:pPr>
      <w:r>
        <w:rPr>
          <w:rFonts w:ascii="Arial" w:cs="Arial" w:eastAsia="Arial" w:hAnsi="Arial"/>
          <w:b w:val="false"/>
          <w:bCs w:val="false"/>
          <w:i w:val="false"/>
          <w:iCs w:val="false"/>
          <w:sz w:val="22"/>
          <w:szCs w:val="22"/>
        </w:rPr>
        <w:t xml:space="preserve">The Administrator may re-run the action after recording late attendance corrections. The action will skip registrations that already have postEventFollowUpSentAt populated and dispatch to any newly qualifying registrations. There is no system-provided mechanism to resend to a registration that has already been sent; such cases are handled through one-off direct email sends by the Administrator.</w:t>
      </w:r>
    </w:p>
    <w:p>
      <w:pPr>
        <w:pStyle w:val="Heading2"/>
        <w:spacing w:after="120" w:before="240"/>
      </w:pPr>
      <w:r>
        <w:rPr>
          <w:rFonts w:ascii="Arial" w:cs="Arial" w:eastAsia="Arial" w:hAnsi="Arial"/>
          <w:b/>
          <w:bCs/>
          <w:i w:val="false"/>
          <w:iCs w:val="false"/>
          <w:sz w:val="28"/>
          <w:szCs w:val="28"/>
        </w:rPr>
        <w:t xml:space="preserve">4.2 Conversion-Push Outreach</w:t>
      </w:r>
    </w:p>
    <w:p>
      <w:pPr>
        <w:pStyle w:val="ListParagraph"/>
        <w:numPr>
          <w:ilvl w:val="0"/>
          <w:numId w:val="3"/>
        </w:numPr>
        <w:spacing w:after="80"/>
      </w:pPr>
      <w:r>
        <w:rPr>
          <w:rFonts w:ascii="Arial" w:cs="Arial" w:eastAsia="Arial" w:hAnsi="Arial"/>
          <w:b w:val="false"/>
          <w:bCs w:val="false"/>
          <w:i w:val="false"/>
          <w:iCs w:val="false"/>
          <w:sz w:val="22"/>
          <w:szCs w:val="22"/>
        </w:rPr>
        <w:t xml:space="preserve">The Content and Event Administrator opens the Unconverted Event Attendees saved Contact list. The list is filtered to Contacts with at least one Event Registration at attendanceStatus = Attended whose linked Account (if any) is not at clientStatus = Applicant or a downstream status.</w:t>
      </w:r>
    </w:p>
    <w:p>
      <w:pPr>
        <w:pStyle w:val="ListParagraph"/>
        <w:numPr>
          <w:ilvl w:val="0"/>
          <w:numId w:val="3"/>
        </w:numPr>
        <w:spacing w:after="80"/>
      </w:pPr>
      <w:r>
        <w:rPr>
          <w:rFonts w:ascii="Arial" w:cs="Arial" w:eastAsia="Arial" w:hAnsi="Arial"/>
          <w:b w:val="false"/>
          <w:bCs w:val="false"/>
          <w:i w:val="false"/>
          <w:iCs w:val="false"/>
          <w:sz w:val="22"/>
          <w:szCs w:val="22"/>
        </w:rPr>
        <w:t xml:space="preserve">The list’s default filters exclude Contacts with emailOptOut = true. The Administrator may remove or adjust this filter, and may also adjust recency parameters (e.g., attended within the last 90 days), event topic, specific Event, or any other standard Contact list filters to narrow the target set.</w:t>
      </w:r>
    </w:p>
    <w:p>
      <w:pPr>
        <w:pStyle w:val="ListParagraph"/>
        <w:numPr>
          <w:ilvl w:val="0"/>
          <w:numId w:val="3"/>
        </w:numPr>
        <w:spacing w:after="80"/>
      </w:pPr>
      <w:r>
        <w:rPr>
          <w:rFonts w:ascii="Arial" w:cs="Arial" w:eastAsia="Arial" w:hAnsi="Arial"/>
          <w:b w:val="false"/>
          <w:bCs w:val="false"/>
          <w:i w:val="false"/>
          <w:iCs w:val="false"/>
          <w:sz w:val="22"/>
          <w:szCs w:val="22"/>
        </w:rPr>
        <w:t xml:space="preserve">The Administrator selects one or more Contacts from the list and opens the conversion-push composer. Three starter templates are available: Ready to Apply (an explicit application-prompt message), Next Event Invitation (a targeted next-event suggestion), and General Reconnect (a lower-commitment reconnection message). The Administrator may author additional templates over time without code changes.</w:t>
      </w:r>
    </w:p>
    <w:p>
      <w:pPr>
        <w:pStyle w:val="ListParagraph"/>
        <w:numPr>
          <w:ilvl w:val="0"/>
          <w:numId w:val="3"/>
        </w:numPr>
        <w:spacing w:after="80"/>
      </w:pPr>
      <w:r>
        <w:rPr>
          <w:rFonts w:ascii="Arial" w:cs="Arial" w:eastAsia="Arial" w:hAnsi="Arial"/>
          <w:b w:val="false"/>
          <w:bCs w:val="false"/>
          <w:i w:val="false"/>
          <w:iCs w:val="false"/>
          <w:sz w:val="22"/>
          <w:szCs w:val="22"/>
        </w:rPr>
        <w:t xml:space="preserve">The system pre-fills the selected template with variables substituted from the selected Contacts and, when applicable, a manually referenced Event. The Administrator may edit the body text before sending; this is the template-with-override workflow.</w:t>
      </w:r>
    </w:p>
    <w:p>
      <w:pPr>
        <w:pStyle w:val="ListParagraph"/>
        <w:numPr>
          <w:ilvl w:val="0"/>
          <w:numId w:val="3"/>
        </w:numPr>
        <w:spacing w:after="80"/>
      </w:pPr>
      <w:r>
        <w:rPr>
          <w:rFonts w:ascii="Arial" w:cs="Arial" w:eastAsia="Arial" w:hAnsi="Arial"/>
          <w:b w:val="false"/>
          <w:bCs w:val="false"/>
          <w:i w:val="false"/>
          <w:iCs w:val="false"/>
          <w:sz w:val="22"/>
          <w:szCs w:val="22"/>
        </w:rPr>
        <w:t xml:space="preserve">On send, the system dispatches the message to each selected recipient and writes lastConversionPushSentAt on each recipient’s Contact record with the send timestamp. No Campaign record, Campaign Engagement record, or dedicated engagement-tracking entity is created. The send is recorded as a standard activity-stream entry on each Contact.</w:t>
      </w:r>
    </w:p>
    <w:p>
      <w:pPr>
        <w:pStyle w:val="ListParagraph"/>
        <w:numPr>
          <w:ilvl w:val="0"/>
          <w:numId w:val="3"/>
        </w:numPr>
        <w:spacing w:after="80"/>
      </w:pPr>
      <w:r>
        <w:rPr>
          <w:rFonts w:ascii="Arial" w:cs="Arial" w:eastAsia="Arial" w:hAnsi="Arial"/>
          <w:b w:val="false"/>
          <w:bCs w:val="false"/>
          <w:i w:val="false"/>
          <w:iCs w:val="false"/>
          <w:sz w:val="22"/>
          <w:szCs w:val="22"/>
        </w:rPr>
        <w:t xml:space="preserve">Conversion-push outreach honors Contact.emailOptOut as a marketing communication. Compliance is the Administrator’s discipline: opted-out Contacts are excluded from the default list filter, and the Administrator is responsible for not deliberately overriding the filter for bulk sends. This matches the compliance-as-discipline pattern from CR-MARKETING-CAMPAIGNS.</w:t>
      </w:r>
    </w:p>
    <w:p>
      <w:pPr>
        <w:pStyle w:val="ListParagraph"/>
        <w:numPr>
          <w:ilvl w:val="0"/>
          <w:numId w:val="3"/>
        </w:numPr>
        <w:spacing w:after="80"/>
      </w:pPr>
      <w:r>
        <w:rPr>
          <w:rFonts w:ascii="Arial" w:cs="Arial" w:eastAsia="Arial" w:hAnsi="Arial"/>
          <w:b w:val="false"/>
          <w:bCs w:val="false"/>
          <w:i w:val="false"/>
          <w:iCs w:val="false"/>
          <w:sz w:val="22"/>
          <w:szCs w:val="22"/>
        </w:rPr>
        <w:t xml:space="preserve">The Administrator repeats the conversion-push cycle at their discretion. There is no system-enforced cadence and no per-Contact send-frequency limit in v1.0. The Administrator’s judgment governs how often the same Contact is contacted.</w:t>
      </w:r>
    </w:p>
    <w:p>
      <w:pPr>
        <w:pStyle w:val="Heading2"/>
        <w:spacing w:after="120" w:before="240"/>
      </w:pPr>
      <w:r>
        <w:rPr>
          <w:rFonts w:ascii="Arial" w:cs="Arial" w:eastAsia="Arial" w:hAnsi="Arial"/>
          <w:b/>
          <w:bCs/>
          <w:i w:val="false"/>
          <w:iCs w:val="false"/>
          <w:sz w:val="28"/>
          <w:szCs w:val="28"/>
        </w:rPr>
        <w:t xml:space="preserve">4.3 Conversion Detection and Reporting</w:t>
      </w:r>
    </w:p>
    <w:p>
      <w:pPr>
        <w:pStyle w:val="ListParagraph"/>
        <w:numPr>
          <w:ilvl w:val="0"/>
          <w:numId w:val="3"/>
        </w:numPr>
        <w:spacing w:after="80"/>
      </w:pPr>
      <w:r>
        <w:rPr>
          <w:rFonts w:ascii="Arial" w:cs="Arial" w:eastAsia="Arial" w:hAnsi="Arial"/>
          <w:b w:val="false"/>
          <w:bCs w:val="false"/>
          <w:i w:val="false"/>
          <w:iCs w:val="false"/>
          <w:sz w:val="22"/>
          <w:szCs w:val="22"/>
        </w:rPr>
        <w:t xml:space="preserve">Conversion detection is computed on read. Whenever a conversion report is run or the Contact detail view is displayed, the system evaluates the following logic for the Contact in question: the Contact has at least one Event Registration at attendanceStatus = Attended AND the Contact is linked to an Account at clientStatus = Applicant or any further downstream status. When both conditions hold, the Contact is reported as converted from the attended event.</w:t>
      </w:r>
    </w:p>
    <w:p>
      <w:pPr>
        <w:pStyle w:val="ListParagraph"/>
        <w:numPr>
          <w:ilvl w:val="0"/>
          <w:numId w:val="3"/>
        </w:numPr>
        <w:spacing w:after="80"/>
      </w:pPr>
      <w:r>
        <w:rPr>
          <w:rFonts w:ascii="Arial" w:cs="Arial" w:eastAsia="Arial" w:hAnsi="Arial"/>
          <w:b w:val="false"/>
          <w:bCs w:val="false"/>
          <w:i w:val="false"/>
          <w:iCs w:val="false"/>
          <w:sz w:val="22"/>
          <w:szCs w:val="22"/>
        </w:rPr>
        <w:t xml:space="preserve">No stored conversion field exists on any entity. No workflow trigger maintains a computed field. No scheduled job materializes a summary table. The computation happens at query time every time.</w:t>
      </w:r>
    </w:p>
    <w:p>
      <w:pPr>
        <w:pStyle w:val="ListParagraph"/>
        <w:numPr>
          <w:ilvl w:val="0"/>
          <w:numId w:val="3"/>
        </w:numPr>
        <w:spacing w:after="80"/>
      </w:pPr>
      <w:r>
        <w:rPr>
          <w:rFonts w:ascii="Arial" w:cs="Arial" w:eastAsia="Arial" w:hAnsi="Arial"/>
          <w:b w:val="false"/>
          <w:bCs w:val="false"/>
          <w:i w:val="false"/>
          <w:iCs w:val="false"/>
          <w:sz w:val="22"/>
          <w:szCs w:val="22"/>
        </w:rPr>
        <w:t xml:space="preserve">The Contact detail view displays a read-only Conversion Status indicator with one of three values: Converted (displayed with the Account’s applicantSince date), Not Converted (Contact has at least one Attended Event Registration but no applicant-stage Account), or Not An Event Attendee (Contact has no Event Registration at attendanceStatus = Attended).</w:t>
      </w:r>
    </w:p>
    <w:p>
      <w:pPr>
        <w:pStyle w:val="ListParagraph"/>
        <w:numPr>
          <w:ilvl w:val="0"/>
          <w:numId w:val="3"/>
        </w:numPr>
        <w:spacing w:after="80"/>
      </w:pPr>
      <w:r>
        <w:rPr>
          <w:rFonts w:ascii="Arial" w:cs="Arial" w:eastAsia="Arial" w:hAnsi="Arial"/>
          <w:b w:val="false"/>
          <w:bCs w:val="false"/>
          <w:i w:val="false"/>
          <w:iCs w:val="false"/>
          <w:sz w:val="22"/>
          <w:szCs w:val="22"/>
        </w:rPr>
        <w:t xml:space="preserve">The conversion date used throughout this process and all conversion reports is Account.applicantSince — a new Account field that MN-INTAKE workflow must system-populate when an Account’s clientStatus transitions to Applicant. The Account Entity PRD and MN-INTAKE-REQ-011 require carry-forward updates to reflect this dependency, documented in Section 10.</w:t>
      </w:r>
    </w:p>
    <w:p>
      <w:pPr>
        <w:pStyle w:val="ListParagraph"/>
        <w:numPr>
          <w:ilvl w:val="0"/>
          <w:numId w:val="3"/>
        </w:numPr>
        <w:spacing w:after="80"/>
      </w:pPr>
      <w:r>
        <w:rPr>
          <w:rFonts w:ascii="Arial" w:cs="Arial" w:eastAsia="Arial" w:hAnsi="Arial"/>
          <w:b w:val="false"/>
          <w:bCs w:val="false"/>
          <w:i w:val="false"/>
          <w:iCs w:val="false"/>
          <w:sz w:val="22"/>
          <w:szCs w:val="22"/>
        </w:rPr>
        <w:t xml:space="preserve">The conversion window is the elapsed time between Event.dateEnd and Account.applicantSince. The default window is 180 days. All conversion reports accept a per-report override on the window parameter.</w:t>
      </w:r>
    </w:p>
    <w:p>
      <w:pPr>
        <w:pStyle w:val="ListParagraph"/>
        <w:numPr>
          <w:ilvl w:val="0"/>
          <w:numId w:val="3"/>
        </w:numPr>
        <w:spacing w:after="80"/>
      </w:pPr>
      <w:r>
        <w:rPr>
          <w:rFonts w:ascii="Arial" w:cs="Arial" w:eastAsia="Arial" w:hAnsi="Arial"/>
          <w:b w:val="false"/>
          <w:bCs w:val="false"/>
          <w:i w:val="false"/>
          <w:iCs w:val="false"/>
          <w:sz w:val="22"/>
          <w:szCs w:val="22"/>
        </w:rPr>
        <w:t xml:space="preserve">Five effectiveness reports are owned by this process: Per-Event Conversion Report (rows per Completed Event), Conversion by Topic Report (rows per topic enum value), Conversion by Format Report (rows per format), Conversion by Partner Co-Sponsorship Report (two groupings — binary co-sponsored vs non-co-sponsored, and per-partner), and Conversion by Geography Report (rows per distinct Event.location string, with a pending-taxonomy note).</w:t>
      </w:r>
    </w:p>
    <w:p>
      <w:pPr>
        <w:pStyle w:val="ListParagraph"/>
        <w:numPr>
          <w:ilvl w:val="0"/>
          <w:numId w:val="3"/>
        </w:numPr>
        <w:spacing w:after="80"/>
      </w:pPr>
      <w:r>
        <w:rPr>
          <w:rFonts w:ascii="Arial" w:cs="Arial" w:eastAsia="Arial" w:hAnsi="Arial"/>
          <w:b w:val="false"/>
          <w:bCs w:val="false"/>
          <w:i w:val="false"/>
          <w:iCs w:val="false"/>
          <w:sz w:val="22"/>
          <w:szCs w:val="22"/>
        </w:rPr>
        <w:t xml:space="preserve">Each effectiveness report exposes six metrics per row: Registrations, Attendance, No-Show Rate, Conversion Count, Conversion Rate, and Median Days from Event to Application. The No-Show Rate definition matches CR-EVENTS-MANAGE: No-Show count divided by (Attended + No-Show), excluding Cancelled. Median Days from Event to Application is the median of (Account.applicantSince minus Event.dateEnd) across the converted Contacts in the grouping.</w:t>
      </w:r>
    </w:p>
    <w:p>
      <w:pPr>
        <w:pStyle w:val="ListParagraph"/>
        <w:numPr>
          <w:ilvl w:val="0"/>
          <w:numId w:val="3"/>
        </w:numPr>
        <w:spacing w:after="80"/>
      </w:pPr>
      <w:r>
        <w:rPr>
          <w:rFonts w:ascii="Arial" w:cs="Arial" w:eastAsia="Arial" w:hAnsi="Arial"/>
          <w:b w:val="false"/>
          <w:bCs w:val="false"/>
          <w:i w:val="false"/>
          <w:iCs w:val="false"/>
          <w:sz w:val="22"/>
          <w:szCs w:val="22"/>
        </w:rPr>
        <w:t xml:space="preserve">Effectiveness reports default to a trailing 12-month date range on Completed events and accept per-report overrides on both the time range and the conversion window. The Per-Event Conversion Report serves as the vehicle for event-to-event comparison; no dedicated side-by-side comparison view exists in v1.0.</w:t>
      </w:r>
    </w:p>
    <w:p>
      <w:pPr>
        <w:pStyle w:val="ListParagraph"/>
        <w:numPr>
          <w:ilvl w:val="0"/>
          <w:numId w:val="3"/>
        </w:numPr>
        <w:spacing w:after="80"/>
      </w:pPr>
      <w:r>
        <w:rPr>
          <w:rFonts w:ascii="Arial" w:cs="Arial" w:eastAsia="Arial" w:hAnsi="Arial"/>
          <w:b w:val="false"/>
          <w:bCs w:val="false"/>
          <w:i w:val="false"/>
          <w:iCs w:val="false"/>
          <w:sz w:val="22"/>
          <w:szCs w:val="22"/>
        </w:rPr>
        <w:t xml:space="preserve">Reports are placed in the Event Reports section of the reporting area alongside the seven operational reports from CR-EVENTS-MANAGE. The section is organized into Operational and Effectiveness subgroups. All effectiveness reports support CSV export.</w:t>
      </w:r>
    </w:p>
    <w:p>
      <w:pPr>
        <w:pStyle w:val="Heading2"/>
        <w:spacing w:after="120" w:before="240"/>
      </w:pPr>
      <w:r>
        <w:rPr>
          <w:rFonts w:ascii="Arial" w:cs="Arial" w:eastAsia="Arial" w:hAnsi="Arial"/>
          <w:b/>
          <w:bCs/>
          <w:i w:val="false"/>
          <w:iCs w:val="false"/>
          <w:sz w:val="28"/>
          <w:szCs w:val="28"/>
        </w:rPr>
        <w:t xml:space="preserve">4.4 Reactivation Handoff</w:t>
      </w:r>
    </w:p>
    <w:p>
      <w:pPr>
        <w:pStyle w:val="ListParagraph"/>
        <w:numPr>
          <w:ilvl w:val="0"/>
          <w:numId w:val="3"/>
        </w:numPr>
        <w:spacing w:after="80"/>
      </w:pPr>
      <w:r>
        <w:rPr>
          <w:rFonts w:ascii="Arial" w:cs="Arial" w:eastAsia="Arial" w:hAnsi="Arial"/>
          <w:b w:val="false"/>
          <w:bCs w:val="false"/>
          <w:i w:val="false"/>
          <w:iCs w:val="false"/>
          <w:sz w:val="22"/>
          <w:szCs w:val="22"/>
        </w:rPr>
        <w:t xml:space="preserve">The system maintains a saved Contact list titled Reactivation Candidates — Event Attendees. The list is computed on read; no flag, no status change, no stored marker on any record records membership.</w:t>
      </w:r>
    </w:p>
    <w:p>
      <w:pPr>
        <w:pStyle w:val="ListParagraph"/>
        <w:numPr>
          <w:ilvl w:val="0"/>
          <w:numId w:val="3"/>
        </w:numPr>
        <w:spacing w:after="80"/>
      </w:pPr>
      <w:r>
        <w:rPr>
          <w:rFonts w:ascii="Arial" w:cs="Arial" w:eastAsia="Arial" w:hAnsi="Arial"/>
          <w:b w:val="false"/>
          <w:bCs w:val="false"/>
          <w:i w:val="false"/>
          <w:iCs w:val="false"/>
          <w:sz w:val="22"/>
          <w:szCs w:val="22"/>
        </w:rPr>
        <w:t xml:space="preserve">Membership criteria are: the Contact has at least one Event Registration at attendanceStatus = Attended; the Contact is not linked to any Account at clientStatus = Applicant or further; and the Contact’s most recent Attended Event Registration’s Event.dateEnd was at least 180 days ago. The 180-day threshold matches the conversion window default and is configurable as a list query parameter.</w:t>
      </w:r>
    </w:p>
    <w:p>
      <w:pPr>
        <w:pStyle w:val="ListParagraph"/>
        <w:numPr>
          <w:ilvl w:val="0"/>
          <w:numId w:val="3"/>
        </w:numPr>
        <w:spacing w:after="80"/>
      </w:pPr>
      <w:r>
        <w:rPr>
          <w:rFonts w:ascii="Arial" w:cs="Arial" w:eastAsia="Arial" w:hAnsi="Arial"/>
          <w:b w:val="false"/>
          <w:bCs w:val="false"/>
          <w:i w:val="false"/>
          <w:iCs w:val="false"/>
          <w:sz w:val="22"/>
          <w:szCs w:val="22"/>
        </w:rPr>
        <w:t xml:space="preserve">A Contact appears in the list when all three criteria hold. A Contact disappears when any criterion ceases to hold — most commonly when they convert (Account reaches Applicant status) or when they attend a new event (the most recent Attended Event.dateEnd moves back inside the threshold). No persistent marker tracks previous handoffs; a re-attending Contact cycles naturally through the list state.</w:t>
      </w:r>
    </w:p>
    <w:p>
      <w:pPr>
        <w:pStyle w:val="ListParagraph"/>
        <w:numPr>
          <w:ilvl w:val="0"/>
          <w:numId w:val="3"/>
        </w:numPr>
        <w:spacing w:after="80"/>
      </w:pPr>
      <w:r>
        <w:rPr>
          <w:rFonts w:ascii="Arial" w:cs="Arial" w:eastAsia="Arial" w:hAnsi="Arial"/>
          <w:b w:val="false"/>
          <w:bCs w:val="false"/>
          <w:i w:val="false"/>
          <w:iCs w:val="false"/>
          <w:sz w:val="22"/>
          <w:szCs w:val="22"/>
        </w:rPr>
        <w:t xml:space="preserve">There is no manual handoff action. The Content and Event Administrator does not approve or release individual Contacts to the list. The list is a query result, and Contacts appear and disappear based on data state.</w:t>
      </w:r>
    </w:p>
    <w:p>
      <w:pPr>
        <w:pStyle w:val="ListParagraph"/>
        <w:numPr>
          <w:ilvl w:val="0"/>
          <w:numId w:val="3"/>
        </w:numPr>
        <w:spacing w:after="80"/>
      </w:pPr>
      <w:r>
        <w:rPr>
          <w:rFonts w:ascii="Arial" w:cs="Arial" w:eastAsia="Arial" w:hAnsi="Arial"/>
          <w:b w:val="false"/>
          <w:bCs w:val="false"/>
          <w:i w:val="false"/>
          <w:iCs w:val="false"/>
          <w:sz w:val="22"/>
          <w:szCs w:val="22"/>
        </w:rPr>
        <w:t xml:space="preserve">The Client Recruiter (primary operator of CR-REACTIVATE) consumes this list when initiating a Reactivation work cycle. The boundary between CR-EVENTS-CONVERT and CR-REACTIVATE is the list itself: everything upstream of the list is CR-EVENTS-CONVERT; everything downstream (outreach composition, reactivation workflow, re-engagement tracking) is CR-REACTIVATE. CR-EVENTS-CONVERT takes no further action on Contacts once they appear on the list.</w:t>
      </w:r>
    </w:p>
    <w:p>
      <w:pPr>
        <w:pStyle w:val="Heading2"/>
        <w:spacing w:after="120" w:before="240"/>
      </w:pPr>
      <w:r>
        <w:rPr>
          <w:rFonts w:ascii="Arial" w:cs="Arial" w:eastAsia="Arial" w:hAnsi="Arial"/>
          <w:b/>
          <w:bCs/>
          <w:i w:val="false"/>
          <w:iCs w:val="false"/>
          <w:sz w:val="28"/>
          <w:szCs w:val="28"/>
        </w:rPr>
        <w:t xml:space="preserve">4.5 Cross-Sub-Domain Reporting Contribution</w:t>
      </w:r>
    </w:p>
    <w:p>
      <w:pPr>
        <w:spacing w:after="120"/>
      </w:pPr>
      <w:r>
        <w:rPr>
          <w:rFonts w:ascii="Arial" w:cs="Arial" w:eastAsia="Arial" w:hAnsi="Arial"/>
          <w:b w:val="false"/>
          <w:bCs w:val="false"/>
          <w:i w:val="false"/>
          <w:iCs w:val="false"/>
          <w:sz w:val="22"/>
          <w:szCs w:val="22"/>
        </w:rPr>
        <w:t xml:space="preserve">This process commits to exposing its attendance, conversion attribution, and timing data as queryable fields on the Contact, Account, Event, and Event Registration entities. The cross-sub-domain channel effectiveness report described in the CR Domain Overview Section 3.9 is defined and governed by CR Domain Reconciliation (Phase 5) and will compute its aggregates directly from the raw fields this process exposes. No pre-aggregation, materialized view, or summary table is maintained by CR-EVENTS-CONVERT for the cross-sub-domain report. This commitment is captured explicitly in Section 6.</w:t>
      </w:r>
    </w:p>
    <w:p>
      <w:pPr>
        <w:pStyle w:val="Heading1"/>
        <w:spacing w:after="120" w:before="360"/>
      </w:pPr>
      <w:r>
        <w:rPr>
          <w:rFonts w:ascii="Arial" w:cs="Arial" w:eastAsia="Arial" w:hAnsi="Arial"/>
          <w:b/>
          <w:bCs/>
          <w:i w:val="false"/>
          <w:iCs w:val="false"/>
          <w:sz w:val="32"/>
          <w:szCs w:val="32"/>
        </w:rPr>
        <w:t xml:space="preserve">5. Process Completion</w:t>
      </w:r>
    </w:p>
    <w:p>
      <w:pPr>
        <w:spacing w:after="40"/>
      </w:pPr>
      <w:r>
        <w:rPr>
          <w:rFonts w:ascii="Arial" w:cs="Arial" w:eastAsia="Arial" w:hAnsi="Arial"/>
          <w:b/>
          <w:bCs/>
          <w:i w:val="false"/>
          <w:iCs w:val="false"/>
          <w:sz w:val="22"/>
          <w:szCs w:val="22"/>
        </w:rPr>
        <w:t xml:space="preserve">Normal Completion (Per Event)</w:t>
      </w:r>
    </w:p>
    <w:p>
      <w:pPr>
        <w:spacing w:after="120"/>
      </w:pPr>
      <w:r>
        <w:rPr>
          <w:rFonts w:ascii="Arial" w:cs="Arial" w:eastAsia="Arial" w:hAnsi="Arial"/>
          <w:b w:val="false"/>
          <w:bCs w:val="false"/>
          <w:i w:val="false"/>
          <w:iCs w:val="false"/>
          <w:sz w:val="22"/>
          <w:szCs w:val="22"/>
        </w:rPr>
        <w:t xml:space="preserve">For any given event, the process reaches an operational completion state when all three of the following hold: every Event Registration at attendanceStatus = Attended or No-Show has postEventFollowUpSentAt populated (automated follow-up dispatch is complete); the conversion window for the event has expired (Event.dateEnd is more than 180 days in the past); and all attendees who applied within the window have been attributed to the event through conversion reporting. At this point, attendees who have not applied are available on the Reactivation Candidates list, and the event’s contribution to channel-effectiveness reporting is complete. The event’s Event record and its Event Registration records remain permanent and remain queryable for historical reporting; nothing is archived or deleted.</w:t>
      </w:r>
    </w:p>
    <w:p>
      <w:pPr>
        <w:spacing w:after="40"/>
      </w:pPr>
      <w:r>
        <w:rPr>
          <w:rFonts w:ascii="Arial" w:cs="Arial" w:eastAsia="Arial" w:hAnsi="Arial"/>
          <w:b/>
          <w:bCs/>
          <w:i w:val="false"/>
          <w:iCs w:val="false"/>
          <w:sz w:val="22"/>
          <w:szCs w:val="22"/>
        </w:rPr>
        <w:t xml:space="preserve">Continuous Operation (Process Level)</w:t>
      </w:r>
    </w:p>
    <w:p>
      <w:pPr>
        <w:spacing w:after="120"/>
      </w:pPr>
      <w:r>
        <w:rPr>
          <w:rFonts w:ascii="Arial" w:cs="Arial" w:eastAsia="Arial" w:hAnsi="Arial"/>
          <w:b w:val="false"/>
          <w:bCs w:val="false"/>
          <w:i w:val="false"/>
          <w:iCs w:val="false"/>
          <w:sz w:val="22"/>
          <w:szCs w:val="22"/>
        </w:rPr>
        <w:t xml:space="preserve">The process as a whole does not reach a terminal state — it runs continuously as new events are completed and their follow-up, conversion-push, conversion detection, and reactivation handoff activities sequence through. Completion is a per-event concept, not a process-level concept.</w:t>
      </w:r>
    </w:p>
    <w:p>
      <w:pPr>
        <w:spacing w:after="40"/>
      </w:pPr>
      <w:r>
        <w:rPr>
          <w:rFonts w:ascii="Arial" w:cs="Arial" w:eastAsia="Arial" w:hAnsi="Arial"/>
          <w:b/>
          <w:bCs/>
          <w:i w:val="false"/>
          <w:iCs w:val="false"/>
          <w:sz w:val="22"/>
          <w:szCs w:val="22"/>
        </w:rPr>
        <w:t xml:space="preserve">Alternative End States</w:t>
      </w:r>
    </w:p>
    <w:p>
      <w:pPr>
        <w:spacing w:after="40"/>
      </w:pPr>
      <w:r>
        <w:rPr>
          <w:rFonts w:ascii="Arial" w:cs="Arial" w:eastAsia="Arial" w:hAnsi="Arial"/>
          <w:b/>
          <w:bCs/>
          <w:i w:val="false"/>
          <w:iCs w:val="false"/>
          <w:sz w:val="22"/>
          <w:szCs w:val="22"/>
        </w:rPr>
        <w:t xml:space="preserve">Cancelled Event — No Handoff to Post-Event Follow-Up.</w:t>
      </w:r>
    </w:p>
    <w:p>
      <w:pPr>
        <w:spacing w:after="120"/>
      </w:pPr>
      <w:r>
        <w:rPr>
          <w:rFonts w:ascii="Arial" w:cs="Arial" w:eastAsia="Arial" w:hAnsi="Arial"/>
          <w:b w:val="false"/>
          <w:bCs w:val="false"/>
          <w:i w:val="false"/>
          <w:iCs w:val="false"/>
          <w:sz w:val="22"/>
          <w:szCs w:val="22"/>
        </w:rPr>
        <w:t xml:space="preserve">An Event at status Cancelled has no post-event follow-up dispatched because the event was never delivered. The Event record persists permanently; the Event Registrations persist at their last attendanceStatus. No data flows into this process from a Cancelled event. Cancellation notifications are composed manually by the Administrator as a separate activity in CR-EVENTS-MANAGE and are not governed by this process.</w:t>
      </w:r>
    </w:p>
    <w:p>
      <w:pPr>
        <w:spacing w:after="40"/>
      </w:pPr>
      <w:r>
        <w:rPr>
          <w:rFonts w:ascii="Arial" w:cs="Arial" w:eastAsia="Arial" w:hAnsi="Arial"/>
          <w:b/>
          <w:bCs/>
          <w:i w:val="false"/>
          <w:iCs w:val="false"/>
          <w:sz w:val="22"/>
          <w:szCs w:val="22"/>
        </w:rPr>
        <w:t xml:space="preserve">Event with No Attendance Recorded — No Follow-Up, Delayed Reactivation.</w:t>
      </w:r>
    </w:p>
    <w:p>
      <w:pPr>
        <w:spacing w:after="120"/>
      </w:pPr>
      <w:r>
        <w:rPr>
          <w:rFonts w:ascii="Arial" w:cs="Arial" w:eastAsia="Arial" w:hAnsi="Arial"/>
          <w:b w:val="false"/>
          <w:bCs w:val="false"/>
          <w:i w:val="false"/>
          <w:iCs w:val="false"/>
          <w:sz w:val="22"/>
          <w:szCs w:val="22"/>
        </w:rPr>
        <w:t xml:space="preserve">If an event is delivered but the Administrator never records attendance, all Event Registrations remain at attendanceStatus = Registered. The Send Post-Event Emails action skips all such registrations, so no follow-up is dispatched. The registrations do not qualify as Attended and therefore never become candidates for conversion reporting or Reactivation handoff. The event produces no outcome data. This is treated as an operational data-hygiene issue rather than a process failure; the Administrator can record attendance at any time after the event, at which point the normal workflow proceeds.</w:t>
      </w:r>
    </w:p>
    <w:p>
      <w:pPr>
        <w:spacing w:after="40"/>
      </w:pPr>
      <w:r>
        <w:rPr>
          <w:rFonts w:ascii="Arial" w:cs="Arial" w:eastAsia="Arial" w:hAnsi="Arial"/>
          <w:b/>
          <w:bCs/>
          <w:i w:val="false"/>
          <w:iCs w:val="false"/>
          <w:sz w:val="22"/>
          <w:szCs w:val="22"/>
        </w:rPr>
        <w:t xml:space="preserve">Early Termination</w:t>
      </w:r>
    </w:p>
    <w:p>
      <w:pPr>
        <w:spacing w:after="120"/>
      </w:pPr>
      <w:r>
        <w:rPr>
          <w:rFonts w:ascii="Arial" w:cs="Arial" w:eastAsia="Arial" w:hAnsi="Arial"/>
          <w:b w:val="false"/>
          <w:bCs w:val="false"/>
          <w:i w:val="false"/>
          <w:iCs w:val="false"/>
          <w:sz w:val="22"/>
          <w:szCs w:val="22"/>
        </w:rPr>
        <w:t xml:space="preserve">There is no early-termination pathway for this process. Individual Contacts may be removed from the Unconverted Event Attendees list or the Reactivation Candidates list by data-state changes (conversion, re-attendance, opt-out) but there is no operator action that terminates the process for an individual Contact.</w:t>
      </w:r>
    </w:p>
    <w:p>
      <w:pPr>
        <w:spacing w:after="40"/>
      </w:pPr>
      <w:r>
        <w:rPr>
          <w:rFonts w:ascii="Arial" w:cs="Arial" w:eastAsia="Arial" w:hAnsi="Arial"/>
          <w:b/>
          <w:bCs/>
          <w:i w:val="false"/>
          <w:iCs w:val="false"/>
          <w:sz w:val="22"/>
          <w:szCs w:val="22"/>
        </w:rPr>
        <w:t xml:space="preserve">Post-Completion Handoffs</w:t>
      </w:r>
    </w:p>
    <w:p>
      <w:pPr>
        <w:spacing w:after="40"/>
      </w:pPr>
      <w:r>
        <w:rPr>
          <w:rFonts w:ascii="Arial" w:cs="Arial" w:eastAsia="Arial" w:hAnsi="Arial"/>
          <w:b/>
          <w:bCs/>
          <w:i w:val="false"/>
          <w:iCs w:val="false"/>
          <w:sz w:val="22"/>
          <w:szCs w:val="22"/>
        </w:rPr>
        <w:t xml:space="preserve">Handoff to CR-REACTIVATE.</w:t>
      </w:r>
    </w:p>
    <w:p>
      <w:pPr>
        <w:spacing w:after="120"/>
      </w:pPr>
      <w:r>
        <w:rPr>
          <w:rFonts w:ascii="Arial" w:cs="Arial" w:eastAsia="Arial" w:hAnsi="Arial"/>
          <w:b w:val="false"/>
          <w:bCs w:val="false"/>
          <w:i w:val="false"/>
          <w:iCs w:val="false"/>
          <w:sz w:val="22"/>
          <w:szCs w:val="22"/>
        </w:rPr>
        <w:t xml:space="preserve">Unconverted attendees past the 180-day threshold appear on the Reactivation Candidates list. The Client Recruiter consumes the list as the input to CR-REACTIVATE-OUTREACH. No data flows across the handoff beyond what is already visible on the Contact record; there is no dedicated handoff record and no handoff action.</w:t>
      </w:r>
    </w:p>
    <w:p>
      <w:pPr>
        <w:spacing w:after="40"/>
      </w:pPr>
      <w:r>
        <w:rPr>
          <w:rFonts w:ascii="Arial" w:cs="Arial" w:eastAsia="Arial" w:hAnsi="Arial"/>
          <w:b/>
          <w:bCs/>
          <w:i w:val="false"/>
          <w:iCs w:val="false"/>
          <w:sz w:val="22"/>
          <w:szCs w:val="22"/>
        </w:rPr>
        <w:t xml:space="preserve">Handoff to MN-INTAKE.</w:t>
      </w:r>
    </w:p>
    <w:p>
      <w:pPr>
        <w:spacing w:after="120"/>
      </w:pPr>
      <w:r>
        <w:rPr>
          <w:rFonts w:ascii="Arial" w:cs="Arial" w:eastAsia="Arial" w:hAnsi="Arial"/>
          <w:b w:val="false"/>
          <w:bCs w:val="false"/>
          <w:i w:val="false"/>
          <w:iCs w:val="false"/>
          <w:sz w:val="22"/>
          <w:szCs w:val="22"/>
        </w:rPr>
        <w:t xml:space="preserve">When an event attendee submits a mentoring application, MN-INTAKE v2.3 owns the prospect-to-applicant transition. This process detects the resulting conversion but does not initiate or participate in the MN-INTAKE handoff. The dependency is unidirectional: this process reads Account.clientStatus and Account.applicantSince (written by MN-INTAKE) for conversion detection; MN-INTAKE is unaware of this process.</w:t>
      </w:r>
    </w:p>
    <w:p>
      <w:pPr>
        <w:spacing w:after="40"/>
      </w:pPr>
      <w:r>
        <w:rPr>
          <w:rFonts w:ascii="Arial" w:cs="Arial" w:eastAsia="Arial" w:hAnsi="Arial"/>
          <w:b/>
          <w:bCs/>
          <w:i w:val="false"/>
          <w:iCs w:val="false"/>
          <w:sz w:val="22"/>
          <w:szCs w:val="22"/>
        </w:rPr>
        <w:t xml:space="preserve">Handoff to CR Domain Reconciliation.</w:t>
      </w:r>
    </w:p>
    <w:p>
      <w:pPr>
        <w:spacing w:after="120"/>
      </w:pPr>
      <w:r>
        <w:rPr>
          <w:rFonts w:ascii="Arial" w:cs="Arial" w:eastAsia="Arial" w:hAnsi="Arial"/>
          <w:b w:val="false"/>
          <w:bCs w:val="false"/>
          <w:i w:val="false"/>
          <w:iCs w:val="false"/>
          <w:sz w:val="22"/>
          <w:szCs w:val="22"/>
        </w:rPr>
        <w:t xml:space="preserve">This process contributes attendance and conversion attribution data to the cross-sub-domain channel effectiveness comparison defined at Phase 5. The handoff is the commitment to expose the raw fields queryable; no report output is generated by this process for Phase 5 consumption.</w:t>
      </w:r>
    </w:p>
    <w:p>
      <w:pPr>
        <w:pStyle w:val="Heading1"/>
        <w:spacing w:after="120" w:before="360"/>
      </w:pPr>
      <w:r>
        <w:rPr>
          <w:rFonts w:ascii="Arial" w:cs="Arial" w:eastAsia="Arial" w:hAnsi="Arial"/>
          <w:b/>
          <w:bCs/>
          <w:i w:val="false"/>
          <w:iCs w:val="false"/>
          <w:sz w:val="32"/>
          <w:szCs w:val="32"/>
        </w:rPr>
        <w:t xml:space="preserve">6. System Requirements</w:t>
      </w:r>
    </w:p>
    <w:p>
      <w:pPr>
        <w:spacing w:after="120"/>
      </w:pPr>
      <w:r>
        <w:rPr>
          <w:rFonts w:ascii="Arial" w:cs="Arial" w:eastAsia="Arial" w:hAnsi="Arial"/>
          <w:b w:val="false"/>
          <w:bCs w:val="false"/>
          <w:i w:val="false"/>
          <w:iCs w:val="false"/>
          <w:sz w:val="22"/>
          <w:szCs w:val="22"/>
        </w:rPr>
        <w:t xml:space="preserve">The following requirements define what the system must do to support this process. All requirements are stated in system-must form.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ID</w:t>
            </w:r>
          </w:p>
        </w:tc>
        <w:tc>
          <w:tcPr>
            <w:tcW w:type="dxa" w:w="696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Requirement</w:t>
            </w:r>
          </w:p>
        </w:tc>
      </w:tr>
      <w:tr>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CR-EVENTS-CONVERT-REQ-001</w:t>
            </w:r>
          </w:p>
        </w:tc>
        <w:tc>
          <w:tcPr>
            <w:tcW w:type="dxa" w:w="69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The system must provide a Send Post-Event Emails action on the Event detail view, available to the Content and Event Administrator at any Event status.</w:t>
            </w:r>
          </w:p>
        </w:tc>
      </w:tr>
      <w:tr>
        <w:tc>
          <w:tcPr>
            <w:tcW w:type="dxa" w:w="24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CR-EVENTS-CONVERT-REQ-002</w:t>
            </w:r>
          </w:p>
        </w:tc>
        <w:tc>
          <w:tcPr>
            <w:tcW w:type="dxa" w:w="69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When the Send Post-Event Emails action is invoked on an Event whose dateEnd has not yet passed, the system must display an explanatory message indicating that post-event follow-up is not available until after the event concludes, and must take no further action.</w:t>
            </w:r>
          </w:p>
        </w:tc>
      </w:tr>
      <w:tr>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CR-EVENTS-CONVERT-REQ-003</w:t>
            </w:r>
          </w:p>
        </w:tc>
        <w:tc>
          <w:tcPr>
            <w:tcW w:type="dxa" w:w="69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When the Send Post-Event Emails action is invoked on an Event whose dateEnd has passed, the system must iterate through every Event Registration linked to the Event and evaluate routing per the rules in REQ-004 through REQ-008.</w:t>
            </w:r>
          </w:p>
        </w:tc>
      </w:tr>
      <w:tr>
        <w:tc>
          <w:tcPr>
            <w:tcW w:type="dxa" w:w="24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CR-EVENTS-CONVERT-REQ-004</w:t>
            </w:r>
          </w:p>
        </w:tc>
        <w:tc>
          <w:tcPr>
            <w:tcW w:type="dxa" w:w="69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For Event Registrations where postEventFollowUpSentAt is already populated, the system must skip the registration and dispatch nothing.</w:t>
            </w:r>
          </w:p>
        </w:tc>
      </w:tr>
      <w:tr>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CR-EVENTS-CONVERT-REQ-005</w:t>
            </w:r>
          </w:p>
        </w:tc>
        <w:tc>
          <w:tcPr>
            <w:tcW w:type="dxa" w:w="69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For Event Registrations at attendanceStatus = Cancelled, the system must skip the registration and dispatch nothing.</w:t>
            </w:r>
          </w:p>
        </w:tc>
      </w:tr>
      <w:tr>
        <w:tc>
          <w:tcPr>
            <w:tcW w:type="dxa" w:w="24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CR-EVENTS-CONVERT-REQ-006</w:t>
            </w:r>
          </w:p>
        </w:tc>
        <w:tc>
          <w:tcPr>
            <w:tcW w:type="dxa" w:w="69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For Event Registrations at attendanceStatus = Registered, the system must skip the registration and dispatch nothing, on the rationale that attendance was never recorded and routing cannot be determined safely.</w:t>
            </w:r>
          </w:p>
        </w:tc>
      </w:tr>
      <w:tr>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CR-EVENTS-CONVERT-REQ-007</w:t>
            </w:r>
          </w:p>
        </w:tc>
        <w:tc>
          <w:tcPr>
            <w:tcW w:type="dxa" w:w="69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For Event Registrations at attendanceStatus = Attended, the system must dispatch the Post-Event Thank-You email using the linked Contact’s email address.</w:t>
            </w:r>
          </w:p>
        </w:tc>
      </w:tr>
      <w:tr>
        <w:tc>
          <w:tcPr>
            <w:tcW w:type="dxa" w:w="24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CR-EVENTS-CONVERT-REQ-008</w:t>
            </w:r>
          </w:p>
        </w:tc>
        <w:tc>
          <w:tcPr>
            <w:tcW w:type="dxa" w:w="69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For Event Registrations at attendanceStatus = No-Show, the system must dispatch the Post-Event We-Missed-You email using the linked Contact’s email address.</w:t>
            </w:r>
          </w:p>
        </w:tc>
      </w:tr>
      <w:tr>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CR-EVENTS-CONVERT-REQ-009</w:t>
            </w:r>
          </w:p>
        </w:tc>
        <w:tc>
          <w:tcPr>
            <w:tcW w:type="dxa" w:w="69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On each dispatch under REQ-007 or REQ-008, the system must set postEventFollowUpSentAt on the Event Registration to the dispatch timestamp.</w:t>
            </w:r>
          </w:p>
        </w:tc>
      </w:tr>
      <w:tr>
        <w:tc>
          <w:tcPr>
            <w:tcW w:type="dxa" w:w="24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CR-EVENTS-CONVERT-REQ-010</w:t>
            </w:r>
          </w:p>
        </w:tc>
        <w:tc>
          <w:tcPr>
            <w:tcW w:type="dxa" w:w="69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The Post-Event Thank-You and Post-Event We-Missed-You email dispatches must ignore the Contact.emailOptOut flag. These are transactional communications, consistent with the transactional-versus-marketing distinction established in CR-EVENTS-MANAGE for confirmations and reminders.</w:t>
            </w:r>
          </w:p>
        </w:tc>
      </w:tr>
      <w:tr>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CR-EVENTS-CONVERT-REQ-011</w:t>
            </w:r>
          </w:p>
        </w:tc>
        <w:tc>
          <w:tcPr>
            <w:tcW w:type="dxa" w:w="69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The Post-Event Thank-You and Post-Event We-Missed-You emails must be sent from the dedicated CBM operational events address configured at implementation time, matching the sending address for CR-EVENTS-MANAGE transactional communications.</w:t>
            </w:r>
          </w:p>
        </w:tc>
      </w:tr>
      <w:tr>
        <w:tc>
          <w:tcPr>
            <w:tcW w:type="dxa" w:w="24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CR-EVENTS-CONVERT-REQ-012</w:t>
            </w:r>
          </w:p>
        </w:tc>
        <w:tc>
          <w:tcPr>
            <w:tcW w:type="dxa" w:w="69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Post-event email templates must support variable substitution for Event, Contact, and Event Registration fields and must be editable by the Content and Event Administrator without code changes. Templates must reference the existing Event.recordingUrl field when a recording link is to be included; no separate post-event recording URL field is required.</w:t>
            </w:r>
          </w:p>
        </w:tc>
      </w:tr>
      <w:tr>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CR-EVENTS-CONVERT-REQ-013</w:t>
            </w:r>
          </w:p>
        </w:tc>
        <w:tc>
          <w:tcPr>
            <w:tcW w:type="dxa" w:w="69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The system must log hard bounces of post-event follow-up emails on the Event Registration’s lastCommunicationBouncedAt field (defined in CR-EVENTS-MANAGE). The system must not automatically suppress future sends or alter Contact state on bounce; pass-through behavior is maintained pending resolution of CR-MARKETING-ISS-004.</w:t>
            </w:r>
          </w:p>
        </w:tc>
      </w:tr>
      <w:tr>
        <w:tc>
          <w:tcPr>
            <w:tcW w:type="dxa" w:w="24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CR-EVENTS-CONVERT-REQ-014</w:t>
            </w:r>
          </w:p>
        </w:tc>
        <w:tc>
          <w:tcPr>
            <w:tcW w:type="dxa" w:w="69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The system must provide a saved Contact list titled Unconverted Event Attendees, filtered to Contacts with at least one Event Registration at attendanceStatus = Attended whose linked Account is not at clientStatus = Applicant or any downstream status.</w:t>
            </w:r>
          </w:p>
        </w:tc>
      </w:tr>
      <w:tr>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CR-EVENTS-CONVERT-REQ-015</w:t>
            </w:r>
          </w:p>
        </w:tc>
        <w:tc>
          <w:tcPr>
            <w:tcW w:type="dxa" w:w="69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The Unconverted Event Attendees saved list must exclude Contacts with emailOptOut = true by default. The Content and Event Administrator must be able to remove the emailOptOut filter and to adjust additional filters including recency of attendance, event topic, and specific Event.</w:t>
            </w:r>
          </w:p>
        </w:tc>
      </w:tr>
      <w:tr>
        <w:tc>
          <w:tcPr>
            <w:tcW w:type="dxa" w:w="24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CR-EVENTS-CONVERT-REQ-016</w:t>
            </w:r>
          </w:p>
        </w:tc>
        <w:tc>
          <w:tcPr>
            <w:tcW w:type="dxa" w:w="69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The system must provide a conversion-push composer accessible from the Unconverted Event Attendees list. The composer must support multi-Contact selection and template-with-override workflow.</w:t>
            </w:r>
          </w:p>
        </w:tc>
      </w:tr>
      <w:tr>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CR-EVENTS-CONVERT-REQ-017</w:t>
            </w:r>
          </w:p>
        </w:tc>
        <w:tc>
          <w:tcPr>
            <w:tcW w:type="dxa" w:w="69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The system must ship with three starter conversion-push email templates: Ready to Apply, Next Event Invitation, and General Reconnect. The Content and Event Administrator must be able to author, edit, and retire templates without code changes.</w:t>
            </w:r>
          </w:p>
        </w:tc>
      </w:tr>
      <w:tr>
        <w:tc>
          <w:tcPr>
            <w:tcW w:type="dxa" w:w="24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CR-EVENTS-CONVERT-REQ-018</w:t>
            </w:r>
          </w:p>
        </w:tc>
        <w:tc>
          <w:tcPr>
            <w:tcW w:type="dxa" w:w="69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On conversion-push dispatch, the system must set lastConversionPushSentAt on each recipient’s Contact record to the dispatch timestamp.</w:t>
            </w:r>
          </w:p>
        </w:tc>
      </w:tr>
      <w:tr>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CR-EVENTS-CONVERT-REQ-019</w:t>
            </w:r>
          </w:p>
        </w:tc>
        <w:tc>
          <w:tcPr>
            <w:tcW w:type="dxa" w:w="69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The system must not create Campaign records, Campaign Engagement records, or any dedicated engagement-tracking entity for conversion-push sends. Sends are recorded as standard activity-stream entries on each Contact.</w:t>
            </w:r>
          </w:p>
        </w:tc>
      </w:tr>
      <w:tr>
        <w:tc>
          <w:tcPr>
            <w:tcW w:type="dxa" w:w="24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CR-EVENTS-CONVERT-REQ-020</w:t>
            </w:r>
          </w:p>
        </w:tc>
        <w:tc>
          <w:tcPr>
            <w:tcW w:type="dxa" w:w="69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Conversion-push outreach must honor Contact.emailOptOut as a marketing communication. Compliance is enforced through the default filter in REQ-015 and the Administrator’s discretionary use of filter overrides; no additional system gate is required.</w:t>
            </w:r>
          </w:p>
        </w:tc>
      </w:tr>
      <w:tr>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CR-EVENTS-CONVERT-REQ-021</w:t>
            </w:r>
          </w:p>
        </w:tc>
        <w:tc>
          <w:tcPr>
            <w:tcW w:type="dxa" w:w="69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The system must compute conversion status on read whenever a conversion report or the Contact detail view is displayed. The computation must evaluate: Contact has at least one Event Registration at attendanceStatus = Attended AND Contact is linked to an Account at clientStatus = Applicant or any downstream status.</w:t>
            </w:r>
          </w:p>
        </w:tc>
      </w:tr>
      <w:tr>
        <w:tc>
          <w:tcPr>
            <w:tcW w:type="dxa" w:w="24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CR-EVENTS-CONVERT-REQ-022</w:t>
            </w:r>
          </w:p>
        </w:tc>
        <w:tc>
          <w:tcPr>
            <w:tcW w:type="dxa" w:w="69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The system must not store a conversion status field on Contact, Event Registration, or any other entity. No workflow must maintain a computed conversion flag, and no scheduled job must materialize conversion data.</w:t>
            </w:r>
          </w:p>
        </w:tc>
      </w:tr>
      <w:tr>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CR-EVENTS-CONVERT-REQ-023</w:t>
            </w:r>
          </w:p>
        </w:tc>
        <w:tc>
          <w:tcPr>
            <w:tcW w:type="dxa" w:w="69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The Contact detail view must display a read-only Conversion Status indicator with one of three values: Converted (with the Account’s applicantSince date), Not Converted, or Not An Event Attendee. The indicator value must be computed at view display time using the logic in REQ-021.</w:t>
            </w:r>
          </w:p>
        </w:tc>
      </w:tr>
      <w:tr>
        <w:tc>
          <w:tcPr>
            <w:tcW w:type="dxa" w:w="24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CR-EVENTS-CONVERT-REQ-024</w:t>
            </w:r>
          </w:p>
        </w:tc>
        <w:tc>
          <w:tcPr>
            <w:tcW w:type="dxa" w:w="69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The system must use Account.applicantSince as the conversion date wherever a conversion date is displayed or reported. This requires that Account.applicantSince be system-populated by MN-INTAKE workflow when an Account’s clientStatus transitions to Applicant; see Section 10 for the MN-INTAKE carry-forward update.</w:t>
            </w:r>
          </w:p>
        </w:tc>
      </w:tr>
      <w:tr>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CR-EVENTS-CONVERT-REQ-025</w:t>
            </w:r>
          </w:p>
        </w:tc>
        <w:tc>
          <w:tcPr>
            <w:tcW w:type="dxa" w:w="69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The system must apply a 180-day default conversion window measured from Event.dateEnd to Account.applicantSince. All conversion reports must accept a per-report override on the window parameter.</w:t>
            </w:r>
          </w:p>
        </w:tc>
      </w:tr>
      <w:tr>
        <w:tc>
          <w:tcPr>
            <w:tcW w:type="dxa" w:w="24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CR-EVENTS-CONVERT-REQ-026</w:t>
            </w:r>
          </w:p>
        </w:tc>
        <w:tc>
          <w:tcPr>
            <w:tcW w:type="dxa" w:w="69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The system must provide five conversion effectiveness reports: Per-Event Conversion Report, Conversion by Topic Report, Conversion by Format Report, Conversion by Partner Co-Sponsorship Report, and Conversion by Geography Report.</w:t>
            </w:r>
          </w:p>
        </w:tc>
      </w:tr>
      <w:tr>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CR-EVENTS-CONVERT-REQ-027</w:t>
            </w:r>
          </w:p>
        </w:tc>
        <w:tc>
          <w:tcPr>
            <w:tcW w:type="dxa" w:w="69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Each conversion effectiveness report must expose the following six metrics per row: Registrations (Event Registrations excluding attendanceStatus = Cancelled), Attendance (Event Registrations at attendanceStatus = Attended), No-Show Rate (count at No-Show divided by the sum of Attended and No-Show, excluding Cancelled — matching the definition in CR-EVENTS-MANAGE-REQ-050), Conversion Count (distinct converted Contacts within the window), Conversion Rate (Conversion Count divided by Attendance), and Median Days from Event to Application (the median of Account.applicantSince minus Event.dateEnd across converted Contacts in the grouping).</w:t>
            </w:r>
          </w:p>
        </w:tc>
      </w:tr>
      <w:tr>
        <w:tc>
          <w:tcPr>
            <w:tcW w:type="dxa" w:w="24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CR-EVENTS-CONVERT-REQ-028</w:t>
            </w:r>
          </w:p>
        </w:tc>
        <w:tc>
          <w:tcPr>
            <w:tcW w:type="dxa" w:w="69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The Conversion by Partner Co-Sponsorship Report must provide two groupings: a binary grouping comparing co-sponsored events against non-co-sponsored events, and a per-partner grouping with one row per Account appearing in any Event.coSponsoringPartners value.</w:t>
            </w:r>
          </w:p>
        </w:tc>
      </w:tr>
      <w:tr>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CR-EVENTS-CONVERT-REQ-029</w:t>
            </w:r>
          </w:p>
        </w:tc>
        <w:tc>
          <w:tcPr>
            <w:tcW w:type="dxa" w:w="69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The Conversion by Geography Report must group by exact-match on Event.location as a free-text value and must display a note stating that the geographic taxonomy is pending CR-MARKETING-ISS-001. The report must not attempt substring grouping or fuzzy matching.</w:t>
            </w:r>
          </w:p>
        </w:tc>
      </w:tr>
      <w:tr>
        <w:tc>
          <w:tcPr>
            <w:tcW w:type="dxa" w:w="24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CR-EVENTS-CONVERT-REQ-030</w:t>
            </w:r>
          </w:p>
        </w:tc>
        <w:tc>
          <w:tcPr>
            <w:tcW w:type="dxa" w:w="69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All conversion effectiveness reports must default to a trailing 12-month time range on Completed events, with per-report override available at run time. All reports must support CSV export.</w:t>
            </w:r>
          </w:p>
        </w:tc>
      </w:tr>
      <w:tr>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CR-EVENTS-CONVERT-REQ-031</w:t>
            </w:r>
          </w:p>
        </w:tc>
        <w:tc>
          <w:tcPr>
            <w:tcW w:type="dxa" w:w="69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The system must place the five conversion effectiveness reports in the Event Reports section alongside the seven operational reports from CR-EVENTS-MANAGE, organized into Operational and Effectiveness subgroups.</w:t>
            </w:r>
          </w:p>
        </w:tc>
      </w:tr>
      <w:tr>
        <w:tc>
          <w:tcPr>
            <w:tcW w:type="dxa" w:w="24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CR-EVENTS-CONVERT-REQ-032</w:t>
            </w:r>
          </w:p>
        </w:tc>
        <w:tc>
          <w:tcPr>
            <w:tcW w:type="dxa" w:w="69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The system must provide a saved Contact list titled Reactivation Candidates — Event Attendees, computed on read, with membership criteria: Contact has at least one Event Registration at attendanceStatus = Attended; Contact is not linked to any Account at clientStatus = Applicant or any downstream status; the most recent Attended Event Registration’s Event.dateEnd was at least 180 days ago.</w:t>
            </w:r>
          </w:p>
        </w:tc>
      </w:tr>
      <w:tr>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CR-EVENTS-CONVERT-REQ-033</w:t>
            </w:r>
          </w:p>
        </w:tc>
        <w:tc>
          <w:tcPr>
            <w:tcW w:type="dxa" w:w="69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The 180-day threshold on the Reactivation Candidates list must be a list query parameter adjustable by the list operator. The default value matches the conversion window default.</w:t>
            </w:r>
          </w:p>
        </w:tc>
      </w:tr>
      <w:tr>
        <w:tc>
          <w:tcPr>
            <w:tcW w:type="dxa" w:w="24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CR-EVENTS-CONVERT-REQ-034</w:t>
            </w:r>
          </w:p>
        </w:tc>
        <w:tc>
          <w:tcPr>
            <w:tcW w:type="dxa" w:w="69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The system must not maintain any flag, status field, or stored marker on Contact or any other entity to indicate Reactivation Candidates list membership, previous handoff, or any other state derived from the list criteria. Membership is a query result only.</w:t>
            </w:r>
          </w:p>
        </w:tc>
      </w:tr>
      <w:tr>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CR-EVENTS-CONVERT-REQ-035</w:t>
            </w:r>
          </w:p>
        </w:tc>
        <w:tc>
          <w:tcPr>
            <w:tcW w:type="dxa" w:w="69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The system must expose the following fields as queryable without pre-aggregation for the cross-sub-domain channel effectiveness report defined at CR Domain Reconciliation: Contact.howDidYouHearAboutCbm, Contact.sourceAttributionDetails, Event Registration.attendanceStatus, Event.dateEnd, Event.topic, Event.format, Account.clientStatus, and Account.applicantSince. No materialized view or summary table must be maintained for this purpose.</w:t>
            </w:r>
          </w:p>
        </w:tc>
      </w:tr>
    </w:tbl>
    <w:p>
      <w:pPr>
        <w:pStyle w:val="Heading1"/>
        <w:spacing w:after="120" w:before="360"/>
      </w:pPr>
      <w:r>
        <w:rPr>
          <w:rFonts w:ascii="Arial" w:cs="Arial" w:eastAsia="Arial" w:hAnsi="Arial"/>
          <w:b/>
          <w:bCs/>
          <w:i w:val="false"/>
          <w:iCs w:val="false"/>
          <w:sz w:val="32"/>
          <w:szCs w:val="32"/>
        </w:rPr>
        <w:t xml:space="preserve">7. Process Data</w:t>
      </w:r>
    </w:p>
    <w:p>
      <w:pPr>
        <w:spacing w:after="120"/>
      </w:pPr>
      <w:r>
        <w:rPr>
          <w:rFonts w:ascii="Arial" w:cs="Arial" w:eastAsia="Arial" w:hAnsi="Arial"/>
          <w:b w:val="false"/>
          <w:bCs w:val="false"/>
          <w:i w:val="false"/>
          <w:iCs w:val="false"/>
          <w:sz w:val="22"/>
          <w:szCs w:val="22"/>
        </w:rPr>
        <w:t xml:space="preserve">The following fields, defined in prior processes or entity documents, are referenced by this process but are not created or updated here. Their presence or values on existing records inform the behavior of this process.</w:t>
      </w:r>
    </w:p>
    <w:p>
      <w:pPr>
        <w:pStyle w:val="Heading2"/>
        <w:spacing w:after="120" w:before="240"/>
      </w:pPr>
      <w:r>
        <w:rPr>
          <w:rFonts w:ascii="Arial" w:cs="Arial" w:eastAsia="Arial" w:hAnsi="Arial"/>
          <w:b/>
          <w:bCs/>
          <w:i w:val="false"/>
          <w:iCs w:val="false"/>
          <w:sz w:val="28"/>
          <w:szCs w:val="28"/>
        </w:rPr>
        <w:t xml:space="preserve">Entity: Contact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100"/>
        <w:gridCol w:w="800"/>
        <w:gridCol w:w="2400"/>
        <w:gridCol w:w="1000"/>
        <w:gridCol w:w="1860"/>
      </w:tblGrid>
      <w:tr>
        <w:tc>
          <w:tcPr>
            <w:tcW w:type="dxa" w:w="22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Field Name</w:t>
            </w:r>
          </w:p>
        </w:tc>
        <w:tc>
          <w:tcPr>
            <w:tcW w:type="dxa" w:w="11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Type</w:t>
            </w:r>
          </w:p>
        </w:tc>
        <w:tc>
          <w:tcPr>
            <w:tcW w:type="dxa" w:w="8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Required</w:t>
            </w:r>
          </w:p>
        </w:tc>
        <w:tc>
          <w:tcPr>
            <w:tcW w:type="dxa" w:w="24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Values</w:t>
            </w:r>
          </w:p>
        </w:tc>
        <w:tc>
          <w:tcPr>
            <w:tcW w:type="dxa" w:w="10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Default</w:t>
            </w:r>
          </w:p>
        </w:tc>
        <w:tc>
          <w:tcPr>
            <w:tcW w:type="dxa" w:w="186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ID</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emailAddress</w:t>
            </w:r>
          </w:p>
        </w:tc>
        <w:tc>
          <w:tcPr>
            <w:tcW w:type="dxa" w:w="11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email</w:t>
            </w:r>
          </w:p>
        </w:tc>
        <w:tc>
          <w:tcPr>
            <w:tcW w:type="dxa" w:w="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Yes</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8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color w:val="888888"/>
                <w:sz w:val="16"/>
                <w:szCs w:val="16"/>
              </w:rPr>
              <w:t xml:space="preserve">CR-EVENTS-CONVERT-DAT-001</w:t>
            </w:r>
          </w:p>
        </w:tc>
      </w:tr>
      <w:tr>
        <w:tc>
          <w:tcPr>
            <w:tcW w:type="dxa" w:w="9360"/>
            <w:gridSpan w:val="6"/>
            <w:tcBorders>
              <w:top w:val="single" w:color="AAAAAA" w:sz="1"/>
              <w:left w:val="single" w:color="AAAAAA" w:sz="1"/>
              <w:bottom w:val="single" w:color="AAAAAA" w:sz="1"/>
              <w:right w:val="single" w:color="AAAAAA" w:sz="1"/>
            </w:tcBorders>
            <w:tcMar>
              <w:top w:type="dxa" w:w="40"/>
              <w:left w:type="dxa" w:w="100"/>
              <w:bottom w:type="dxa" w:w="80"/>
              <w:right w:type="dxa" w:w="100"/>
            </w:tcMar>
          </w:tcPr>
          <w:p>
            <w:r>
              <w:rPr>
                <w:rFonts w:ascii="Arial" w:cs="Arial" w:eastAsia="Arial" w:hAnsi="Arial"/>
                <w:b w:val="false"/>
                <w:bCs w:val="false"/>
                <w:i w:val="false"/>
                <w:iCs w:val="false"/>
                <w:color w:val="888888"/>
                <w:sz w:val="20"/>
                <w:szCs w:val="20"/>
              </w:rPr>
              <w:t xml:space="preserve">The Contact’s primary email address. Destination address for post-event follow-up emails and conversion-push outreach. Defined in Contact Entity PRD.</w:t>
            </w:r>
          </w:p>
        </w:tc>
      </w:tr>
      <w:tr>
        <w:tc>
          <w:tcPr>
            <w:tcW w:type="dxa" w:w="22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firstName</w:t>
            </w:r>
          </w:p>
        </w:tc>
        <w:tc>
          <w:tcPr>
            <w:tcW w:type="dxa" w:w="11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varchar</w:t>
            </w:r>
          </w:p>
        </w:tc>
        <w:tc>
          <w:tcPr>
            <w:tcW w:type="dxa" w:w="8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Yes</w:t>
            </w:r>
          </w:p>
        </w:tc>
        <w:tc>
          <w:tcPr>
            <w:tcW w:type="dxa" w:w="24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8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color w:val="888888"/>
                <w:sz w:val="16"/>
                <w:szCs w:val="16"/>
              </w:rPr>
              <w:t xml:space="preserve">CR-EVENTS-CONVERT-DAT-002</w:t>
            </w:r>
          </w:p>
        </w:tc>
      </w:tr>
      <w:tr>
        <w:tc>
          <w:tcPr>
            <w:tcW w:type="dxa" w:w="9360"/>
            <w:gridSpan w:val="6"/>
            <w:tcBorders>
              <w:top w:val="single" w:color="AAAAAA" w:sz="1"/>
              <w:left w:val="single" w:color="AAAAAA" w:sz="1"/>
              <w:bottom w:val="single" w:color="AAAAAA" w:sz="1"/>
              <w:right w:val="single" w:color="AAAAAA" w:sz="1"/>
            </w:tcBorders>
            <w:shd w:fill="F2F7FB" w:val="clear"/>
            <w:tcMar>
              <w:top w:type="dxa" w:w="40"/>
              <w:left w:type="dxa" w:w="100"/>
              <w:bottom w:type="dxa" w:w="80"/>
              <w:right w:type="dxa" w:w="100"/>
            </w:tcMar>
          </w:tcPr>
          <w:p>
            <w:r>
              <w:rPr>
                <w:rFonts w:ascii="Arial" w:cs="Arial" w:eastAsia="Arial" w:hAnsi="Arial"/>
                <w:b w:val="false"/>
                <w:bCs w:val="false"/>
                <w:i w:val="false"/>
                <w:iCs w:val="false"/>
                <w:color w:val="888888"/>
                <w:sz w:val="20"/>
                <w:szCs w:val="20"/>
              </w:rPr>
              <w:t xml:space="preserve">The Contact’s first name. Used as a template substitution variable when preferredName is blank.</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preferredName</w:t>
            </w:r>
          </w:p>
        </w:tc>
        <w:tc>
          <w:tcPr>
            <w:tcW w:type="dxa" w:w="11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varchar</w:t>
            </w:r>
          </w:p>
        </w:tc>
        <w:tc>
          <w:tcPr>
            <w:tcW w:type="dxa" w:w="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No</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8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color w:val="888888"/>
                <w:sz w:val="16"/>
                <w:szCs w:val="16"/>
              </w:rPr>
              <w:t xml:space="preserve">CR-EVENTS-CONVERT-DAT-003</w:t>
            </w:r>
          </w:p>
        </w:tc>
      </w:tr>
      <w:tr>
        <w:tc>
          <w:tcPr>
            <w:tcW w:type="dxa" w:w="9360"/>
            <w:gridSpan w:val="6"/>
            <w:tcBorders>
              <w:top w:val="single" w:color="AAAAAA" w:sz="1"/>
              <w:left w:val="single" w:color="AAAAAA" w:sz="1"/>
              <w:bottom w:val="single" w:color="AAAAAA" w:sz="1"/>
              <w:right w:val="single" w:color="AAAAAA" w:sz="1"/>
            </w:tcBorders>
            <w:tcMar>
              <w:top w:type="dxa" w:w="40"/>
              <w:left w:type="dxa" w:w="100"/>
              <w:bottom w:type="dxa" w:w="80"/>
              <w:right w:type="dxa" w:w="100"/>
            </w:tcMar>
          </w:tcPr>
          <w:p>
            <w:r>
              <w:rPr>
                <w:rFonts w:ascii="Arial" w:cs="Arial" w:eastAsia="Arial" w:hAnsi="Arial"/>
                <w:b w:val="false"/>
                <w:bCs w:val="false"/>
                <w:i w:val="false"/>
                <w:iCs w:val="false"/>
                <w:color w:val="888888"/>
                <w:sz w:val="20"/>
                <w:szCs w:val="20"/>
              </w:rPr>
              <w:t xml:space="preserve">The Contact’s preferred name. Referenced by templates; when populated, templates use preferredName in place of firstName.</w:t>
            </w:r>
          </w:p>
        </w:tc>
      </w:tr>
      <w:tr>
        <w:tc>
          <w:tcPr>
            <w:tcW w:type="dxa" w:w="22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contactType</w:t>
            </w:r>
          </w:p>
        </w:tc>
        <w:tc>
          <w:tcPr>
            <w:tcW w:type="dxa" w:w="11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multiEnum</w:t>
            </w:r>
          </w:p>
        </w:tc>
        <w:tc>
          <w:tcPr>
            <w:tcW w:type="dxa" w:w="8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Yes</w:t>
            </w:r>
          </w:p>
        </w:tc>
        <w:tc>
          <w:tcPr>
            <w:tcW w:type="dxa" w:w="24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Client, Mentor, Partner, Administrator, Presenter, Donor, Member</w:t>
            </w:r>
          </w:p>
        </w:tc>
        <w:tc>
          <w:tcPr>
            <w:tcW w:type="dxa" w:w="1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8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color w:val="888888"/>
                <w:sz w:val="16"/>
                <w:szCs w:val="16"/>
              </w:rPr>
              <w:t xml:space="preserve">CR-EVENTS-CONVERT-DAT-004</w:t>
            </w:r>
          </w:p>
        </w:tc>
      </w:tr>
      <w:tr>
        <w:tc>
          <w:tcPr>
            <w:tcW w:type="dxa" w:w="9360"/>
            <w:gridSpan w:val="6"/>
            <w:tcBorders>
              <w:top w:val="single" w:color="AAAAAA" w:sz="1"/>
              <w:left w:val="single" w:color="AAAAAA" w:sz="1"/>
              <w:bottom w:val="single" w:color="AAAAAA" w:sz="1"/>
              <w:right w:val="single" w:color="AAAAAA" w:sz="1"/>
            </w:tcBorders>
            <w:shd w:fill="F2F7FB" w:val="clear"/>
            <w:tcMar>
              <w:top w:type="dxa" w:w="40"/>
              <w:left w:type="dxa" w:w="100"/>
              <w:bottom w:type="dxa" w:w="80"/>
              <w:right w:type="dxa" w:w="100"/>
            </w:tcMar>
          </w:tcPr>
          <w:p>
            <w:r>
              <w:rPr>
                <w:rFonts w:ascii="Arial" w:cs="Arial" w:eastAsia="Arial" w:hAnsi="Arial"/>
                <w:b w:val="false"/>
                <w:bCs w:val="false"/>
                <w:i w:val="false"/>
                <w:iCs w:val="false"/>
                <w:color w:val="888888"/>
                <w:sz w:val="20"/>
                <w:szCs w:val="20"/>
              </w:rPr>
              <w:t xml:space="preserve">The discriminator field on Contact. Read for context on the Contact detail view and in reports; this process does not filter by contactType. Defined in Contact Entity PRD.</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emailOptOut</w:t>
            </w:r>
          </w:p>
        </w:tc>
        <w:tc>
          <w:tcPr>
            <w:tcW w:type="dxa" w:w="11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bool</w:t>
            </w:r>
          </w:p>
        </w:tc>
        <w:tc>
          <w:tcPr>
            <w:tcW w:type="dxa" w:w="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No</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true, false</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false</w:t>
            </w:r>
          </w:p>
        </w:tc>
        <w:tc>
          <w:tcPr>
            <w:tcW w:type="dxa" w:w="18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color w:val="888888"/>
                <w:sz w:val="16"/>
                <w:szCs w:val="16"/>
              </w:rPr>
              <w:t xml:space="preserve">CR-EVENTS-CONVERT-DAT-005</w:t>
            </w:r>
          </w:p>
        </w:tc>
      </w:tr>
      <w:tr>
        <w:tc>
          <w:tcPr>
            <w:tcW w:type="dxa" w:w="9360"/>
            <w:gridSpan w:val="6"/>
            <w:tcBorders>
              <w:top w:val="single" w:color="AAAAAA" w:sz="1"/>
              <w:left w:val="single" w:color="AAAAAA" w:sz="1"/>
              <w:bottom w:val="single" w:color="AAAAAA" w:sz="1"/>
              <w:right w:val="single" w:color="AAAAAA" w:sz="1"/>
            </w:tcBorders>
            <w:tcMar>
              <w:top w:type="dxa" w:w="40"/>
              <w:left w:type="dxa" w:w="100"/>
              <w:bottom w:type="dxa" w:w="80"/>
              <w:right w:type="dxa" w:w="100"/>
            </w:tcMar>
          </w:tcPr>
          <w:p>
            <w:r>
              <w:rPr>
                <w:rFonts w:ascii="Arial" w:cs="Arial" w:eastAsia="Arial" w:hAnsi="Arial"/>
                <w:b w:val="false"/>
                <w:bCs w:val="false"/>
                <w:i w:val="false"/>
                <w:iCs w:val="false"/>
                <w:color w:val="888888"/>
                <w:sz w:val="20"/>
                <w:szCs w:val="20"/>
              </w:rPr>
              <w:t xml:space="preserve">Email marketing opt-out flag. Honored for conversion-push outreach (marketing). Explicitly ignored for Post-Event Thank-You and We-Missed-You emails (transactional) per REQ-010.</w:t>
            </w:r>
          </w:p>
        </w:tc>
      </w:tr>
      <w:tr>
        <w:tc>
          <w:tcPr>
            <w:tcW w:type="dxa" w:w="22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howDidYouHearAboutCbm</w:t>
            </w:r>
          </w:p>
        </w:tc>
        <w:tc>
          <w:tcPr>
            <w:tcW w:type="dxa" w:w="11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enum</w:t>
            </w:r>
          </w:p>
        </w:tc>
        <w:tc>
          <w:tcPr>
            <w:tcW w:type="dxa" w:w="8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No</w:t>
            </w:r>
          </w:p>
        </w:tc>
        <w:tc>
          <w:tcPr>
            <w:tcW w:type="dxa" w:w="24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Partner Referral, Workshop or Event, Email Marketing, Social Media, Search Engine, CBM Website, News or Media, Personal Referral, Returning Client, Other</w:t>
            </w:r>
          </w:p>
        </w:tc>
        <w:tc>
          <w:tcPr>
            <w:tcW w:type="dxa" w:w="1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8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color w:val="888888"/>
                <w:sz w:val="16"/>
                <w:szCs w:val="16"/>
              </w:rPr>
              <w:t xml:space="preserve">CR-EVENTS-CONVERT-DAT-006</w:t>
            </w:r>
          </w:p>
        </w:tc>
      </w:tr>
      <w:tr>
        <w:tc>
          <w:tcPr>
            <w:tcW w:type="dxa" w:w="9360"/>
            <w:gridSpan w:val="6"/>
            <w:tcBorders>
              <w:top w:val="single" w:color="AAAAAA" w:sz="1"/>
              <w:left w:val="single" w:color="AAAAAA" w:sz="1"/>
              <w:bottom w:val="single" w:color="AAAAAA" w:sz="1"/>
              <w:right w:val="single" w:color="AAAAAA" w:sz="1"/>
            </w:tcBorders>
            <w:shd w:fill="F2F7FB" w:val="clear"/>
            <w:tcMar>
              <w:top w:type="dxa" w:w="40"/>
              <w:left w:type="dxa" w:w="100"/>
              <w:bottom w:type="dxa" w:w="80"/>
              <w:right w:type="dxa" w:w="100"/>
            </w:tcMar>
          </w:tcPr>
          <w:p>
            <w:r>
              <w:rPr>
                <w:rFonts w:ascii="Arial" w:cs="Arial" w:eastAsia="Arial" w:hAnsi="Arial"/>
                <w:b w:val="false"/>
                <w:bCs w:val="false"/>
                <w:i w:val="false"/>
                <w:iCs w:val="false"/>
                <w:color w:val="888888"/>
                <w:sz w:val="20"/>
                <w:szCs w:val="20"/>
              </w:rPr>
              <w:t xml:space="preserve">Source attribution. Read by the cross-sub-domain channel effectiveness report for CR rollup. Value Workshop or Event is the attribution signal this process is ultimately measuring. Defined in Contact Entity PRD (CR-MARKETING SDO Section 4.7 governs the value list).</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sourceAttributionDetails</w:t>
            </w:r>
          </w:p>
        </w:tc>
        <w:tc>
          <w:tcPr>
            <w:tcW w:type="dxa" w:w="11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wysiwyg</w:t>
            </w:r>
          </w:p>
        </w:tc>
        <w:tc>
          <w:tcPr>
            <w:tcW w:type="dxa" w:w="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No</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8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color w:val="888888"/>
                <w:sz w:val="16"/>
                <w:szCs w:val="16"/>
              </w:rPr>
              <w:t xml:space="preserve">CR-EVENTS-CONVERT-DAT-007</w:t>
            </w:r>
          </w:p>
        </w:tc>
      </w:tr>
      <w:tr>
        <w:tc>
          <w:tcPr>
            <w:tcW w:type="dxa" w:w="9360"/>
            <w:gridSpan w:val="6"/>
            <w:tcBorders>
              <w:top w:val="single" w:color="AAAAAA" w:sz="1"/>
              <w:left w:val="single" w:color="AAAAAA" w:sz="1"/>
              <w:bottom w:val="single" w:color="AAAAAA" w:sz="1"/>
              <w:right w:val="single" w:color="AAAAAA" w:sz="1"/>
            </w:tcBorders>
            <w:tcMar>
              <w:top w:type="dxa" w:w="40"/>
              <w:left w:type="dxa" w:w="100"/>
              <w:bottom w:type="dxa" w:w="80"/>
              <w:right w:type="dxa" w:w="100"/>
            </w:tcMar>
          </w:tcPr>
          <w:p>
            <w:r>
              <w:rPr>
                <w:rFonts w:ascii="Arial" w:cs="Arial" w:eastAsia="Arial" w:hAnsi="Arial"/>
                <w:b w:val="false"/>
                <w:bCs w:val="false"/>
                <w:i w:val="false"/>
                <w:iCs w:val="false"/>
                <w:color w:val="888888"/>
                <w:sz w:val="20"/>
                <w:szCs w:val="20"/>
              </w:rPr>
              <w:t xml:space="preserve">Supplementary unstructured attribution detail. When Workshop or Event is the howDidYouHearAboutCbm value, contains the specific event name. Read for context only; this process does not parse the free-text value. Defined in Contact Entity PRD.</w:t>
            </w:r>
          </w:p>
        </w:tc>
      </w:tr>
      <w:tr>
        <w:tc>
          <w:tcPr>
            <w:tcW w:type="dxa" w:w="22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prospectStatus</w:t>
            </w:r>
          </w:p>
        </w:tc>
        <w:tc>
          <w:tcPr>
            <w:tcW w:type="dxa" w:w="11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enum</w:t>
            </w:r>
          </w:p>
        </w:tc>
        <w:tc>
          <w:tcPr>
            <w:tcW w:type="dxa" w:w="8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No</w:t>
            </w:r>
          </w:p>
        </w:tc>
        <w:tc>
          <w:tcPr>
            <w:tcW w:type="dxa" w:w="24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(values defined by CR-MARKETING; see CR-MARKETING-ISS-003)</w:t>
            </w:r>
          </w:p>
        </w:tc>
        <w:tc>
          <w:tcPr>
            <w:tcW w:type="dxa" w:w="1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8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color w:val="888888"/>
                <w:sz w:val="16"/>
                <w:szCs w:val="16"/>
              </w:rPr>
              <w:t xml:space="preserve">CR-EVENTS-CONVERT-DAT-008</w:t>
            </w:r>
          </w:p>
        </w:tc>
      </w:tr>
      <w:tr>
        <w:tc>
          <w:tcPr>
            <w:tcW w:type="dxa" w:w="9360"/>
            <w:gridSpan w:val="6"/>
            <w:tcBorders>
              <w:top w:val="single" w:color="AAAAAA" w:sz="1"/>
              <w:left w:val="single" w:color="AAAAAA" w:sz="1"/>
              <w:bottom w:val="single" w:color="AAAAAA" w:sz="1"/>
              <w:right w:val="single" w:color="AAAAAA" w:sz="1"/>
            </w:tcBorders>
            <w:shd w:fill="F2F7FB" w:val="clear"/>
            <w:tcMar>
              <w:top w:type="dxa" w:w="40"/>
              <w:left w:type="dxa" w:w="100"/>
              <w:bottom w:type="dxa" w:w="80"/>
              <w:right w:type="dxa" w:w="100"/>
            </w:tcMar>
          </w:tcPr>
          <w:p>
            <w:r>
              <w:rPr>
                <w:rFonts w:ascii="Arial" w:cs="Arial" w:eastAsia="Arial" w:hAnsi="Arial"/>
                <w:b w:val="false"/>
                <w:bCs w:val="false"/>
                <w:i w:val="false"/>
                <w:iCs w:val="false"/>
                <w:color w:val="888888"/>
                <w:sz w:val="20"/>
                <w:szCs w:val="20"/>
              </w:rPr>
              <w:t xml:space="preserve">Marketing-funnel state. Read for context in conversion reports and on the Contact detail view; this process does not filter by prospectStatus. Defined in Contact Entity PRD.</w:t>
            </w:r>
          </w:p>
        </w:tc>
      </w:tr>
    </w:tbl>
    <w:p>
      <w:pPr>
        <w:spacing w:after="120"/>
      </w:pPr>
      <w:r>
        <w:rPr>
          <w:rFonts w:ascii="Arial" w:cs="Arial" w:eastAsia="Arial" w:hAnsi="Arial"/>
          <w:b w:val="false"/>
          <w:bCs w:val="false"/>
          <w:i w:val="false"/>
          <w:iCs w:val="false"/>
          <w:sz w:val="22"/>
          <w:szCs w:val="22"/>
        </w:rPr>
        <w:t xml:space="preserve"/>
      </w:r>
    </w:p>
    <w:p>
      <w:pPr>
        <w:pStyle w:val="Heading2"/>
        <w:spacing w:after="120" w:before="240"/>
      </w:pPr>
      <w:r>
        <w:rPr>
          <w:rFonts w:ascii="Arial" w:cs="Arial" w:eastAsia="Arial" w:hAnsi="Arial"/>
          <w:b/>
          <w:bCs/>
          <w:i w:val="false"/>
          <w:iCs w:val="false"/>
          <w:sz w:val="28"/>
          <w:szCs w:val="28"/>
        </w:rPr>
        <w:t xml:space="preserve">Entity: Event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100"/>
        <w:gridCol w:w="800"/>
        <w:gridCol w:w="2400"/>
        <w:gridCol w:w="1000"/>
        <w:gridCol w:w="1860"/>
      </w:tblGrid>
      <w:tr>
        <w:tc>
          <w:tcPr>
            <w:tcW w:type="dxa" w:w="22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Field Name</w:t>
            </w:r>
          </w:p>
        </w:tc>
        <w:tc>
          <w:tcPr>
            <w:tcW w:type="dxa" w:w="11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Type</w:t>
            </w:r>
          </w:p>
        </w:tc>
        <w:tc>
          <w:tcPr>
            <w:tcW w:type="dxa" w:w="8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Required</w:t>
            </w:r>
          </w:p>
        </w:tc>
        <w:tc>
          <w:tcPr>
            <w:tcW w:type="dxa" w:w="24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Values</w:t>
            </w:r>
          </w:p>
        </w:tc>
        <w:tc>
          <w:tcPr>
            <w:tcW w:type="dxa" w:w="10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Default</w:t>
            </w:r>
          </w:p>
        </w:tc>
        <w:tc>
          <w:tcPr>
            <w:tcW w:type="dxa" w:w="186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ID</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name</w:t>
            </w:r>
          </w:p>
        </w:tc>
        <w:tc>
          <w:tcPr>
            <w:tcW w:type="dxa" w:w="11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varchar</w:t>
            </w:r>
          </w:p>
        </w:tc>
        <w:tc>
          <w:tcPr>
            <w:tcW w:type="dxa" w:w="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Yes</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8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color w:val="888888"/>
                <w:sz w:val="16"/>
                <w:szCs w:val="16"/>
              </w:rPr>
              <w:t xml:space="preserve">CR-EVENTS-CONVERT-DAT-009</w:t>
            </w:r>
          </w:p>
        </w:tc>
      </w:tr>
      <w:tr>
        <w:tc>
          <w:tcPr>
            <w:tcW w:type="dxa" w:w="9360"/>
            <w:gridSpan w:val="6"/>
            <w:tcBorders>
              <w:top w:val="single" w:color="AAAAAA" w:sz="1"/>
              <w:left w:val="single" w:color="AAAAAA" w:sz="1"/>
              <w:bottom w:val="single" w:color="AAAAAA" w:sz="1"/>
              <w:right w:val="single" w:color="AAAAAA" w:sz="1"/>
            </w:tcBorders>
            <w:tcMar>
              <w:top w:type="dxa" w:w="40"/>
              <w:left w:type="dxa" w:w="100"/>
              <w:bottom w:type="dxa" w:w="80"/>
              <w:right w:type="dxa" w:w="100"/>
            </w:tcMar>
          </w:tcPr>
          <w:p>
            <w:r>
              <w:rPr>
                <w:rFonts w:ascii="Arial" w:cs="Arial" w:eastAsia="Arial" w:hAnsi="Arial"/>
                <w:b w:val="false"/>
                <w:bCs w:val="false"/>
                <w:i w:val="false"/>
                <w:iCs w:val="false"/>
                <w:color w:val="888888"/>
                <w:sz w:val="20"/>
                <w:szCs w:val="20"/>
              </w:rPr>
              <w:t xml:space="preserve">The event title. Used as a template substitution variable in post-event emails and as an axis label in Per-Event Conversion Report rows. Defined in CR-EVENTS-MANAGE.</w:t>
            </w:r>
          </w:p>
        </w:tc>
      </w:tr>
      <w:tr>
        <w:tc>
          <w:tcPr>
            <w:tcW w:type="dxa" w:w="22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dateEnd</w:t>
            </w:r>
          </w:p>
        </w:tc>
        <w:tc>
          <w:tcPr>
            <w:tcW w:type="dxa" w:w="11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datetime</w:t>
            </w:r>
          </w:p>
        </w:tc>
        <w:tc>
          <w:tcPr>
            <w:tcW w:type="dxa" w:w="8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Yes</w:t>
            </w:r>
          </w:p>
        </w:tc>
        <w:tc>
          <w:tcPr>
            <w:tcW w:type="dxa" w:w="24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8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color w:val="888888"/>
                <w:sz w:val="16"/>
                <w:szCs w:val="16"/>
              </w:rPr>
              <w:t xml:space="preserve">CR-EVENTS-CONVERT-DAT-010</w:t>
            </w:r>
          </w:p>
        </w:tc>
      </w:tr>
      <w:tr>
        <w:tc>
          <w:tcPr>
            <w:tcW w:type="dxa" w:w="9360"/>
            <w:gridSpan w:val="6"/>
            <w:tcBorders>
              <w:top w:val="single" w:color="AAAAAA" w:sz="1"/>
              <w:left w:val="single" w:color="AAAAAA" w:sz="1"/>
              <w:bottom w:val="single" w:color="AAAAAA" w:sz="1"/>
              <w:right w:val="single" w:color="AAAAAA" w:sz="1"/>
            </w:tcBorders>
            <w:shd w:fill="F2F7FB" w:val="clear"/>
            <w:tcMar>
              <w:top w:type="dxa" w:w="40"/>
              <w:left w:type="dxa" w:w="100"/>
              <w:bottom w:type="dxa" w:w="80"/>
              <w:right w:type="dxa" w:w="100"/>
            </w:tcMar>
          </w:tcPr>
          <w:p>
            <w:r>
              <w:rPr>
                <w:rFonts w:ascii="Arial" w:cs="Arial" w:eastAsia="Arial" w:hAnsi="Arial"/>
                <w:b w:val="false"/>
                <w:bCs w:val="false"/>
                <w:i w:val="false"/>
                <w:iCs w:val="false"/>
                <w:color w:val="888888"/>
                <w:sz w:val="20"/>
                <w:szCs w:val="20"/>
              </w:rPr>
              <w:t xml:space="preserve">The event end date and time. The event-side anchor for the conversion window (Event.dateEnd to Account.applicantSince) per REQ-025. Also the gate for Send Post-Event Emails action availability per REQ-002. Defined in CR-EVENTS-MANAGE.</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status</w:t>
            </w:r>
          </w:p>
        </w:tc>
        <w:tc>
          <w:tcPr>
            <w:tcW w:type="dxa" w:w="11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enum</w:t>
            </w:r>
          </w:p>
        </w:tc>
        <w:tc>
          <w:tcPr>
            <w:tcW w:type="dxa" w:w="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Yes</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Draft, Scheduled, In Progress, Completed, Cancelled, Postponed</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8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color w:val="888888"/>
                <w:sz w:val="16"/>
                <w:szCs w:val="16"/>
              </w:rPr>
              <w:t xml:space="preserve">CR-EVENTS-CONVERT-DAT-011</w:t>
            </w:r>
          </w:p>
        </w:tc>
      </w:tr>
      <w:tr>
        <w:tc>
          <w:tcPr>
            <w:tcW w:type="dxa" w:w="9360"/>
            <w:gridSpan w:val="6"/>
            <w:tcBorders>
              <w:top w:val="single" w:color="AAAAAA" w:sz="1"/>
              <w:left w:val="single" w:color="AAAAAA" w:sz="1"/>
              <w:bottom w:val="single" w:color="AAAAAA" w:sz="1"/>
              <w:right w:val="single" w:color="AAAAAA" w:sz="1"/>
            </w:tcBorders>
            <w:tcMar>
              <w:top w:type="dxa" w:w="40"/>
              <w:left w:type="dxa" w:w="100"/>
              <w:bottom w:type="dxa" w:w="80"/>
              <w:right w:type="dxa" w:w="100"/>
            </w:tcMar>
          </w:tcPr>
          <w:p>
            <w:r>
              <w:rPr>
                <w:rFonts w:ascii="Arial" w:cs="Arial" w:eastAsia="Arial" w:hAnsi="Arial"/>
                <w:b w:val="false"/>
                <w:bCs w:val="false"/>
                <w:i w:val="false"/>
                <w:iCs w:val="false"/>
                <w:color w:val="888888"/>
                <w:sz w:val="20"/>
                <w:szCs w:val="20"/>
              </w:rPr>
              <w:t xml:space="preserve">Event lifecycle state. Read for report filtering (trailing-12-months view filters to Completed). Not used as a trigger or a filter for post-event email dispatch per the decisions in Section 11. Defined in CR-EVENTS-MANAGE.</w:t>
            </w:r>
          </w:p>
        </w:tc>
      </w:tr>
      <w:tr>
        <w:tc>
          <w:tcPr>
            <w:tcW w:type="dxa" w:w="22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topic</w:t>
            </w:r>
          </w:p>
        </w:tc>
        <w:tc>
          <w:tcPr>
            <w:tcW w:type="dxa" w:w="11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enum</w:t>
            </w:r>
          </w:p>
        </w:tc>
        <w:tc>
          <w:tcPr>
            <w:tcW w:type="dxa" w:w="8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No</w:t>
            </w:r>
          </w:p>
        </w:tc>
        <w:tc>
          <w:tcPr>
            <w:tcW w:type="dxa" w:w="24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Business Fundamentals, Marketing &amp; Sales, Finance &amp; Accounting, Legal &amp; Compliance, Operations, Technology &amp; Digital, Leadership &amp; People, Industry-Specific, Networking, Other</w:t>
            </w:r>
          </w:p>
        </w:tc>
        <w:tc>
          <w:tcPr>
            <w:tcW w:type="dxa" w:w="1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8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color w:val="888888"/>
                <w:sz w:val="16"/>
                <w:szCs w:val="16"/>
              </w:rPr>
              <w:t xml:space="preserve">CR-EVENTS-CONVERT-DAT-012</w:t>
            </w:r>
          </w:p>
        </w:tc>
      </w:tr>
      <w:tr>
        <w:tc>
          <w:tcPr>
            <w:tcW w:type="dxa" w:w="9360"/>
            <w:gridSpan w:val="6"/>
            <w:tcBorders>
              <w:top w:val="single" w:color="AAAAAA" w:sz="1"/>
              <w:left w:val="single" w:color="AAAAAA" w:sz="1"/>
              <w:bottom w:val="single" w:color="AAAAAA" w:sz="1"/>
              <w:right w:val="single" w:color="AAAAAA" w:sz="1"/>
            </w:tcBorders>
            <w:shd w:fill="F2F7FB" w:val="clear"/>
            <w:tcMar>
              <w:top w:type="dxa" w:w="40"/>
              <w:left w:type="dxa" w:w="100"/>
              <w:bottom w:type="dxa" w:w="80"/>
              <w:right w:type="dxa" w:w="100"/>
            </w:tcMar>
          </w:tcPr>
          <w:p>
            <w:r>
              <w:rPr>
                <w:rFonts w:ascii="Arial" w:cs="Arial" w:eastAsia="Arial" w:hAnsi="Arial"/>
                <w:b w:val="false"/>
                <w:bCs w:val="false"/>
                <w:i w:val="false"/>
                <w:iCs w:val="false"/>
                <w:color w:val="888888"/>
                <w:sz w:val="20"/>
                <w:szCs w:val="20"/>
              </w:rPr>
              <w:t xml:space="preserve">Event topic. Grouping dimension for the Conversion by Topic Report. Defined in CR-EVENTS-MANAGE.</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format</w:t>
            </w:r>
          </w:p>
        </w:tc>
        <w:tc>
          <w:tcPr>
            <w:tcW w:type="dxa" w:w="11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enum</w:t>
            </w:r>
          </w:p>
        </w:tc>
        <w:tc>
          <w:tcPr>
            <w:tcW w:type="dxa" w:w="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Yes</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In-Person, Virtual, Hybrid</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8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color w:val="888888"/>
                <w:sz w:val="16"/>
                <w:szCs w:val="16"/>
              </w:rPr>
              <w:t xml:space="preserve">CR-EVENTS-CONVERT-DAT-013</w:t>
            </w:r>
          </w:p>
        </w:tc>
      </w:tr>
      <w:tr>
        <w:tc>
          <w:tcPr>
            <w:tcW w:type="dxa" w:w="9360"/>
            <w:gridSpan w:val="6"/>
            <w:tcBorders>
              <w:top w:val="single" w:color="AAAAAA" w:sz="1"/>
              <w:left w:val="single" w:color="AAAAAA" w:sz="1"/>
              <w:bottom w:val="single" w:color="AAAAAA" w:sz="1"/>
              <w:right w:val="single" w:color="AAAAAA" w:sz="1"/>
            </w:tcBorders>
            <w:tcMar>
              <w:top w:type="dxa" w:w="40"/>
              <w:left w:type="dxa" w:w="100"/>
              <w:bottom w:type="dxa" w:w="80"/>
              <w:right w:type="dxa" w:w="100"/>
            </w:tcMar>
          </w:tcPr>
          <w:p>
            <w:r>
              <w:rPr>
                <w:rFonts w:ascii="Arial" w:cs="Arial" w:eastAsia="Arial" w:hAnsi="Arial"/>
                <w:b w:val="false"/>
                <w:bCs w:val="false"/>
                <w:i w:val="false"/>
                <w:iCs w:val="false"/>
                <w:color w:val="888888"/>
                <w:sz w:val="20"/>
                <w:szCs w:val="20"/>
              </w:rPr>
              <w:t xml:space="preserve">Event format. Grouping dimension for the Conversion by Format Report and a driver of template content (recording link section renders only for Virtual or Hybrid when recordingUrl is populated). Defined in CR-EVENTS-MANAGE.</w:t>
            </w:r>
          </w:p>
        </w:tc>
      </w:tr>
      <w:tr>
        <w:tc>
          <w:tcPr>
            <w:tcW w:type="dxa" w:w="22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location</w:t>
            </w:r>
          </w:p>
        </w:tc>
        <w:tc>
          <w:tcPr>
            <w:tcW w:type="dxa" w:w="11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text</w:t>
            </w:r>
          </w:p>
        </w:tc>
        <w:tc>
          <w:tcPr>
            <w:tcW w:type="dxa" w:w="8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Conditional</w:t>
            </w:r>
          </w:p>
        </w:tc>
        <w:tc>
          <w:tcPr>
            <w:tcW w:type="dxa" w:w="24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8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color w:val="888888"/>
                <w:sz w:val="16"/>
                <w:szCs w:val="16"/>
              </w:rPr>
              <w:t xml:space="preserve">CR-EVENTS-CONVERT-DAT-014</w:t>
            </w:r>
          </w:p>
        </w:tc>
      </w:tr>
      <w:tr>
        <w:tc>
          <w:tcPr>
            <w:tcW w:type="dxa" w:w="9360"/>
            <w:gridSpan w:val="6"/>
            <w:tcBorders>
              <w:top w:val="single" w:color="AAAAAA" w:sz="1"/>
              <w:left w:val="single" w:color="AAAAAA" w:sz="1"/>
              <w:bottom w:val="single" w:color="AAAAAA" w:sz="1"/>
              <w:right w:val="single" w:color="AAAAAA" w:sz="1"/>
            </w:tcBorders>
            <w:shd w:fill="F2F7FB" w:val="clear"/>
            <w:tcMar>
              <w:top w:type="dxa" w:w="40"/>
              <w:left w:type="dxa" w:w="100"/>
              <w:bottom w:type="dxa" w:w="80"/>
              <w:right w:type="dxa" w:w="100"/>
            </w:tcMar>
          </w:tcPr>
          <w:p>
            <w:r>
              <w:rPr>
                <w:rFonts w:ascii="Arial" w:cs="Arial" w:eastAsia="Arial" w:hAnsi="Arial"/>
                <w:b w:val="false"/>
                <w:bCs w:val="false"/>
                <w:i w:val="false"/>
                <w:iCs w:val="false"/>
                <w:color w:val="888888"/>
                <w:sz w:val="20"/>
                <w:szCs w:val="20"/>
              </w:rPr>
              <w:t xml:space="preserve">Free-text venue name and address for In-Person or Hybrid events. Grouping dimension for the Conversion by Geography Report pending CR-MARKETING-ISS-001 resolution. Defined in CR-EVENTS-MANAGE.</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recordingUrl</w:t>
            </w:r>
          </w:p>
        </w:tc>
        <w:tc>
          <w:tcPr>
            <w:tcW w:type="dxa" w:w="11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url</w:t>
            </w:r>
          </w:p>
        </w:tc>
        <w:tc>
          <w:tcPr>
            <w:tcW w:type="dxa" w:w="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No</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8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color w:val="888888"/>
                <w:sz w:val="16"/>
                <w:szCs w:val="16"/>
              </w:rPr>
              <w:t xml:space="preserve">CR-EVENTS-CONVERT-DAT-015</w:t>
            </w:r>
          </w:p>
        </w:tc>
      </w:tr>
      <w:tr>
        <w:tc>
          <w:tcPr>
            <w:tcW w:type="dxa" w:w="9360"/>
            <w:gridSpan w:val="6"/>
            <w:tcBorders>
              <w:top w:val="single" w:color="AAAAAA" w:sz="1"/>
              <w:left w:val="single" w:color="AAAAAA" w:sz="1"/>
              <w:bottom w:val="single" w:color="AAAAAA" w:sz="1"/>
              <w:right w:val="single" w:color="AAAAAA" w:sz="1"/>
            </w:tcBorders>
            <w:tcMar>
              <w:top w:type="dxa" w:w="40"/>
              <w:left w:type="dxa" w:w="100"/>
              <w:bottom w:type="dxa" w:w="80"/>
              <w:right w:type="dxa" w:w="100"/>
            </w:tcMar>
          </w:tcPr>
          <w:p>
            <w:r>
              <w:rPr>
                <w:rFonts w:ascii="Arial" w:cs="Arial" w:eastAsia="Arial" w:hAnsi="Arial"/>
                <w:b w:val="false"/>
                <w:bCs w:val="false"/>
                <w:i w:val="false"/>
                <w:iCs w:val="false"/>
                <w:color w:val="888888"/>
                <w:sz w:val="20"/>
                <w:szCs w:val="20"/>
              </w:rPr>
              <w:t xml:space="preserve">Optional link to an externally hosted recording. Referenced in Post-Event Thank-You and Post-Event We-Missed-You templates; when blank the template renders without the recording link section. No separate post-event recording URL field is defined. Defined in CR-EVENTS-MANAGE.</w:t>
            </w:r>
          </w:p>
        </w:tc>
      </w:tr>
      <w:tr>
        <w:tc>
          <w:tcPr>
            <w:tcW w:type="dxa" w:w="22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coSponsoringPartners</w:t>
            </w:r>
          </w:p>
        </w:tc>
        <w:tc>
          <w:tcPr>
            <w:tcW w:type="dxa" w:w="11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relationship (many)</w:t>
            </w:r>
          </w:p>
        </w:tc>
        <w:tc>
          <w:tcPr>
            <w:tcW w:type="dxa" w:w="8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No</w:t>
            </w:r>
          </w:p>
        </w:tc>
        <w:tc>
          <w:tcPr>
            <w:tcW w:type="dxa" w:w="24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8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color w:val="888888"/>
                <w:sz w:val="16"/>
                <w:szCs w:val="16"/>
              </w:rPr>
              <w:t xml:space="preserve">CR-EVENTS-CONVERT-DAT-016</w:t>
            </w:r>
          </w:p>
        </w:tc>
      </w:tr>
      <w:tr>
        <w:tc>
          <w:tcPr>
            <w:tcW w:type="dxa" w:w="9360"/>
            <w:gridSpan w:val="6"/>
            <w:tcBorders>
              <w:top w:val="single" w:color="AAAAAA" w:sz="1"/>
              <w:left w:val="single" w:color="AAAAAA" w:sz="1"/>
              <w:bottom w:val="single" w:color="AAAAAA" w:sz="1"/>
              <w:right w:val="single" w:color="AAAAAA" w:sz="1"/>
            </w:tcBorders>
            <w:shd w:fill="F2F7FB" w:val="clear"/>
            <w:tcMar>
              <w:top w:type="dxa" w:w="40"/>
              <w:left w:type="dxa" w:w="100"/>
              <w:bottom w:type="dxa" w:w="80"/>
              <w:right w:type="dxa" w:w="100"/>
            </w:tcMar>
          </w:tcPr>
          <w:p>
            <w:r>
              <w:rPr>
                <w:rFonts w:ascii="Arial" w:cs="Arial" w:eastAsia="Arial" w:hAnsi="Arial"/>
                <w:b w:val="false"/>
                <w:bCs w:val="false"/>
                <w:i w:val="false"/>
                <w:iCs w:val="false"/>
                <w:color w:val="888888"/>
                <w:sz w:val="20"/>
                <w:szCs w:val="20"/>
              </w:rPr>
              <w:t xml:space="preserve">Link to partner Accounts co-sponsoring the event. Grouping dimension for the Conversion by Partner Co-Sponsorship Report in both its binary and per-partner views. Defined in CR-EVENTS-MANAGE.</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presenters</w:t>
            </w:r>
          </w:p>
        </w:tc>
        <w:tc>
          <w:tcPr>
            <w:tcW w:type="dxa" w:w="11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relationship (many)</w:t>
            </w:r>
          </w:p>
        </w:tc>
        <w:tc>
          <w:tcPr>
            <w:tcW w:type="dxa" w:w="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No</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8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color w:val="888888"/>
                <w:sz w:val="16"/>
                <w:szCs w:val="16"/>
              </w:rPr>
              <w:t xml:space="preserve">CR-EVENTS-CONVERT-DAT-017</w:t>
            </w:r>
          </w:p>
        </w:tc>
      </w:tr>
      <w:tr>
        <w:tc>
          <w:tcPr>
            <w:tcW w:type="dxa" w:w="9360"/>
            <w:gridSpan w:val="6"/>
            <w:tcBorders>
              <w:top w:val="single" w:color="AAAAAA" w:sz="1"/>
              <w:left w:val="single" w:color="AAAAAA" w:sz="1"/>
              <w:bottom w:val="single" w:color="AAAAAA" w:sz="1"/>
              <w:right w:val="single" w:color="AAAAAA" w:sz="1"/>
            </w:tcBorders>
            <w:tcMar>
              <w:top w:type="dxa" w:w="40"/>
              <w:left w:type="dxa" w:w="100"/>
              <w:bottom w:type="dxa" w:w="80"/>
              <w:right w:type="dxa" w:w="100"/>
            </w:tcMar>
          </w:tcPr>
          <w:p>
            <w:r>
              <w:rPr>
                <w:rFonts w:ascii="Arial" w:cs="Arial" w:eastAsia="Arial" w:hAnsi="Arial"/>
                <w:b w:val="false"/>
                <w:bCs w:val="false"/>
                <w:i w:val="false"/>
                <w:iCs w:val="false"/>
                <w:color w:val="888888"/>
                <w:sz w:val="20"/>
                <w:szCs w:val="20"/>
              </w:rPr>
              <w:t xml:space="preserve">Link to presenter Contacts. Referenced in Post-Event Thank-You templates for thank-you-to-our-presenters content. Defined in CR-EVENTS-MANAGE.</w:t>
            </w:r>
          </w:p>
        </w:tc>
      </w:tr>
    </w:tbl>
    <w:p>
      <w:pPr>
        <w:spacing w:after="120"/>
      </w:pPr>
      <w:r>
        <w:rPr>
          <w:rFonts w:ascii="Arial" w:cs="Arial" w:eastAsia="Arial" w:hAnsi="Arial"/>
          <w:b w:val="false"/>
          <w:bCs w:val="false"/>
          <w:i w:val="false"/>
          <w:iCs w:val="false"/>
          <w:sz w:val="22"/>
          <w:szCs w:val="22"/>
        </w:rPr>
        <w:t xml:space="preserve"/>
      </w:r>
    </w:p>
    <w:p>
      <w:pPr>
        <w:pStyle w:val="Heading2"/>
        <w:spacing w:after="120" w:before="240"/>
      </w:pPr>
      <w:r>
        <w:rPr>
          <w:rFonts w:ascii="Arial" w:cs="Arial" w:eastAsia="Arial" w:hAnsi="Arial"/>
          <w:b/>
          <w:bCs/>
          <w:i w:val="false"/>
          <w:iCs w:val="false"/>
          <w:sz w:val="28"/>
          <w:szCs w:val="28"/>
        </w:rPr>
        <w:t xml:space="preserve">Entity: Event Registration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100"/>
        <w:gridCol w:w="800"/>
        <w:gridCol w:w="2400"/>
        <w:gridCol w:w="1000"/>
        <w:gridCol w:w="1860"/>
      </w:tblGrid>
      <w:tr>
        <w:tc>
          <w:tcPr>
            <w:tcW w:type="dxa" w:w="22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Field Name</w:t>
            </w:r>
          </w:p>
        </w:tc>
        <w:tc>
          <w:tcPr>
            <w:tcW w:type="dxa" w:w="11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Type</w:t>
            </w:r>
          </w:p>
        </w:tc>
        <w:tc>
          <w:tcPr>
            <w:tcW w:type="dxa" w:w="8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Required</w:t>
            </w:r>
          </w:p>
        </w:tc>
        <w:tc>
          <w:tcPr>
            <w:tcW w:type="dxa" w:w="24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Values</w:t>
            </w:r>
          </w:p>
        </w:tc>
        <w:tc>
          <w:tcPr>
            <w:tcW w:type="dxa" w:w="10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Default</w:t>
            </w:r>
          </w:p>
        </w:tc>
        <w:tc>
          <w:tcPr>
            <w:tcW w:type="dxa" w:w="186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ID</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event</w:t>
            </w:r>
          </w:p>
        </w:tc>
        <w:tc>
          <w:tcPr>
            <w:tcW w:type="dxa" w:w="11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relationship</w:t>
            </w:r>
          </w:p>
        </w:tc>
        <w:tc>
          <w:tcPr>
            <w:tcW w:type="dxa" w:w="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Yes</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8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color w:val="888888"/>
                <w:sz w:val="16"/>
                <w:szCs w:val="16"/>
              </w:rPr>
              <w:t xml:space="preserve">CR-EVENTS-CONVERT-DAT-018</w:t>
            </w:r>
          </w:p>
        </w:tc>
      </w:tr>
      <w:tr>
        <w:tc>
          <w:tcPr>
            <w:tcW w:type="dxa" w:w="9360"/>
            <w:gridSpan w:val="6"/>
            <w:tcBorders>
              <w:top w:val="single" w:color="AAAAAA" w:sz="1"/>
              <w:left w:val="single" w:color="AAAAAA" w:sz="1"/>
              <w:bottom w:val="single" w:color="AAAAAA" w:sz="1"/>
              <w:right w:val="single" w:color="AAAAAA" w:sz="1"/>
            </w:tcBorders>
            <w:tcMar>
              <w:top w:type="dxa" w:w="40"/>
              <w:left w:type="dxa" w:w="100"/>
              <w:bottom w:type="dxa" w:w="80"/>
              <w:right w:type="dxa" w:w="100"/>
            </w:tcMar>
          </w:tcPr>
          <w:p>
            <w:r>
              <w:rPr>
                <w:rFonts w:ascii="Arial" w:cs="Arial" w:eastAsia="Arial" w:hAnsi="Arial"/>
                <w:b w:val="false"/>
                <w:bCs w:val="false"/>
                <w:i w:val="false"/>
                <w:iCs w:val="false"/>
                <w:color w:val="888888"/>
                <w:sz w:val="20"/>
                <w:szCs w:val="20"/>
              </w:rPr>
              <w:t xml:space="preserve">The Event this registration is for. Traversed to read Event fields for template substitution, report grouping, and conversion window evaluation. Defined in CR-EVENTS-MANAGE.</w:t>
            </w:r>
          </w:p>
        </w:tc>
      </w:tr>
      <w:tr>
        <w:tc>
          <w:tcPr>
            <w:tcW w:type="dxa" w:w="22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contact</w:t>
            </w:r>
          </w:p>
        </w:tc>
        <w:tc>
          <w:tcPr>
            <w:tcW w:type="dxa" w:w="11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relationship</w:t>
            </w:r>
          </w:p>
        </w:tc>
        <w:tc>
          <w:tcPr>
            <w:tcW w:type="dxa" w:w="8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Yes</w:t>
            </w:r>
          </w:p>
        </w:tc>
        <w:tc>
          <w:tcPr>
            <w:tcW w:type="dxa" w:w="24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8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color w:val="888888"/>
                <w:sz w:val="16"/>
                <w:szCs w:val="16"/>
              </w:rPr>
              <w:t xml:space="preserve">CR-EVENTS-CONVERT-DAT-019</w:t>
            </w:r>
          </w:p>
        </w:tc>
      </w:tr>
      <w:tr>
        <w:tc>
          <w:tcPr>
            <w:tcW w:type="dxa" w:w="9360"/>
            <w:gridSpan w:val="6"/>
            <w:tcBorders>
              <w:top w:val="single" w:color="AAAAAA" w:sz="1"/>
              <w:left w:val="single" w:color="AAAAAA" w:sz="1"/>
              <w:bottom w:val="single" w:color="AAAAAA" w:sz="1"/>
              <w:right w:val="single" w:color="AAAAAA" w:sz="1"/>
            </w:tcBorders>
            <w:shd w:fill="F2F7FB" w:val="clear"/>
            <w:tcMar>
              <w:top w:type="dxa" w:w="40"/>
              <w:left w:type="dxa" w:w="100"/>
              <w:bottom w:type="dxa" w:w="80"/>
              <w:right w:type="dxa" w:w="100"/>
            </w:tcMar>
          </w:tcPr>
          <w:p>
            <w:r>
              <w:rPr>
                <w:rFonts w:ascii="Arial" w:cs="Arial" w:eastAsia="Arial" w:hAnsi="Arial"/>
                <w:b w:val="false"/>
                <w:bCs w:val="false"/>
                <w:i w:val="false"/>
                <w:iCs w:val="false"/>
                <w:color w:val="888888"/>
                <w:sz w:val="20"/>
                <w:szCs w:val="20"/>
              </w:rPr>
              <w:t xml:space="preserve">The registrant Contact. Traversed to determine the recipient of post-event emails and to evaluate conversion detection and Reactivation list membership. Defined in CR-EVENTS-MANAGE.</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attendanceStatus</w:t>
            </w:r>
          </w:p>
        </w:tc>
        <w:tc>
          <w:tcPr>
            <w:tcW w:type="dxa" w:w="11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enum</w:t>
            </w:r>
          </w:p>
        </w:tc>
        <w:tc>
          <w:tcPr>
            <w:tcW w:type="dxa" w:w="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Yes</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Registered, Attended, No-Show, Cancelled</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Registered</w:t>
            </w:r>
          </w:p>
        </w:tc>
        <w:tc>
          <w:tcPr>
            <w:tcW w:type="dxa" w:w="18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color w:val="888888"/>
                <w:sz w:val="16"/>
                <w:szCs w:val="16"/>
              </w:rPr>
              <w:t xml:space="preserve">CR-EVENTS-CONVERT-DAT-020</w:t>
            </w:r>
          </w:p>
        </w:tc>
      </w:tr>
      <w:tr>
        <w:tc>
          <w:tcPr>
            <w:tcW w:type="dxa" w:w="9360"/>
            <w:gridSpan w:val="6"/>
            <w:tcBorders>
              <w:top w:val="single" w:color="AAAAAA" w:sz="1"/>
              <w:left w:val="single" w:color="AAAAAA" w:sz="1"/>
              <w:bottom w:val="single" w:color="AAAAAA" w:sz="1"/>
              <w:right w:val="single" w:color="AAAAAA" w:sz="1"/>
            </w:tcBorders>
            <w:tcMar>
              <w:top w:type="dxa" w:w="40"/>
              <w:left w:type="dxa" w:w="100"/>
              <w:bottom w:type="dxa" w:w="80"/>
              <w:right w:type="dxa" w:w="100"/>
            </w:tcMar>
          </w:tcPr>
          <w:p>
            <w:r>
              <w:rPr>
                <w:rFonts w:ascii="Arial" w:cs="Arial" w:eastAsia="Arial" w:hAnsi="Arial"/>
                <w:b w:val="false"/>
                <w:bCs w:val="false"/>
                <w:i w:val="false"/>
                <w:iCs w:val="false"/>
                <w:color w:val="888888"/>
                <w:sz w:val="20"/>
                <w:szCs w:val="20"/>
              </w:rPr>
              <w:t xml:space="preserve">The core routing field for this process. Drives dispatch routing in REQ-004 through REQ-008, conversion detection in REQ-021, and Reactivation list membership in REQ-032. Defined in CR-EVENTS-MANAGE.</w:t>
            </w:r>
          </w:p>
        </w:tc>
      </w:tr>
      <w:tr>
        <w:tc>
          <w:tcPr>
            <w:tcW w:type="dxa" w:w="22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lastCommunicationBouncedAt</w:t>
            </w:r>
          </w:p>
        </w:tc>
        <w:tc>
          <w:tcPr>
            <w:tcW w:type="dxa" w:w="11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datetime</w:t>
            </w:r>
          </w:p>
        </w:tc>
        <w:tc>
          <w:tcPr>
            <w:tcW w:type="dxa" w:w="8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No</w:t>
            </w:r>
          </w:p>
        </w:tc>
        <w:tc>
          <w:tcPr>
            <w:tcW w:type="dxa" w:w="24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8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color w:val="888888"/>
                <w:sz w:val="16"/>
                <w:szCs w:val="16"/>
              </w:rPr>
              <w:t xml:space="preserve">CR-EVENTS-CONVERT-DAT-021</w:t>
            </w:r>
          </w:p>
        </w:tc>
      </w:tr>
      <w:tr>
        <w:tc>
          <w:tcPr>
            <w:tcW w:type="dxa" w:w="9360"/>
            <w:gridSpan w:val="6"/>
            <w:tcBorders>
              <w:top w:val="single" w:color="AAAAAA" w:sz="1"/>
              <w:left w:val="single" w:color="AAAAAA" w:sz="1"/>
              <w:bottom w:val="single" w:color="AAAAAA" w:sz="1"/>
              <w:right w:val="single" w:color="AAAAAA" w:sz="1"/>
            </w:tcBorders>
            <w:shd w:fill="F2F7FB" w:val="clear"/>
            <w:tcMar>
              <w:top w:type="dxa" w:w="40"/>
              <w:left w:type="dxa" w:w="100"/>
              <w:bottom w:type="dxa" w:w="80"/>
              <w:right w:type="dxa" w:w="100"/>
            </w:tcMar>
          </w:tcPr>
          <w:p>
            <w:r>
              <w:rPr>
                <w:rFonts w:ascii="Arial" w:cs="Arial" w:eastAsia="Arial" w:hAnsi="Arial"/>
                <w:b w:val="false"/>
                <w:bCs w:val="false"/>
                <w:i w:val="false"/>
                <w:iCs w:val="false"/>
                <w:color w:val="888888"/>
                <w:sz w:val="20"/>
                <w:szCs w:val="20"/>
              </w:rPr>
              <w:t xml:space="preserve">Timestamp of the most recent hard bounce of any event communication. Written by this process on post-event follow-up bounces per REQ-013; also written by CR-EVENTS-MANAGE on confirmation and reminder bounces. Defined in CR-EVENTS-MANAGE.</w:t>
            </w:r>
          </w:p>
        </w:tc>
      </w:tr>
    </w:tbl>
    <w:p>
      <w:pPr>
        <w:spacing w:after="120"/>
      </w:pPr>
      <w:r>
        <w:rPr>
          <w:rFonts w:ascii="Arial" w:cs="Arial" w:eastAsia="Arial" w:hAnsi="Arial"/>
          <w:b w:val="false"/>
          <w:bCs w:val="false"/>
          <w:i w:val="false"/>
          <w:iCs w:val="false"/>
          <w:sz w:val="22"/>
          <w:szCs w:val="22"/>
        </w:rPr>
        <w:t xml:space="preserve"/>
      </w:r>
    </w:p>
    <w:p>
      <w:pPr>
        <w:pStyle w:val="Heading2"/>
        <w:spacing w:after="120" w:before="240"/>
      </w:pPr>
      <w:r>
        <w:rPr>
          <w:rFonts w:ascii="Arial" w:cs="Arial" w:eastAsia="Arial" w:hAnsi="Arial"/>
          <w:b/>
          <w:bCs/>
          <w:i w:val="false"/>
          <w:iCs w:val="false"/>
          <w:sz w:val="28"/>
          <w:szCs w:val="28"/>
        </w:rPr>
        <w:t xml:space="preserve">Entity: Account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100"/>
        <w:gridCol w:w="800"/>
        <w:gridCol w:w="2400"/>
        <w:gridCol w:w="1000"/>
        <w:gridCol w:w="1860"/>
      </w:tblGrid>
      <w:tr>
        <w:tc>
          <w:tcPr>
            <w:tcW w:type="dxa" w:w="22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Field Name</w:t>
            </w:r>
          </w:p>
        </w:tc>
        <w:tc>
          <w:tcPr>
            <w:tcW w:type="dxa" w:w="11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Type</w:t>
            </w:r>
          </w:p>
        </w:tc>
        <w:tc>
          <w:tcPr>
            <w:tcW w:type="dxa" w:w="8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Required</w:t>
            </w:r>
          </w:p>
        </w:tc>
        <w:tc>
          <w:tcPr>
            <w:tcW w:type="dxa" w:w="24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Values</w:t>
            </w:r>
          </w:p>
        </w:tc>
        <w:tc>
          <w:tcPr>
            <w:tcW w:type="dxa" w:w="10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Default</w:t>
            </w:r>
          </w:p>
        </w:tc>
        <w:tc>
          <w:tcPr>
            <w:tcW w:type="dxa" w:w="186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ID</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clientStatus</w:t>
            </w:r>
          </w:p>
        </w:tc>
        <w:tc>
          <w:tcPr>
            <w:tcW w:type="dxa" w:w="11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enum</w:t>
            </w:r>
          </w:p>
        </w:tc>
        <w:tc>
          <w:tcPr>
            <w:tcW w:type="dxa" w:w="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No</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(values defined by CR-MARKETING; see CR-MARKETING-ISS-004)</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Prospect</w:t>
            </w:r>
          </w:p>
        </w:tc>
        <w:tc>
          <w:tcPr>
            <w:tcW w:type="dxa" w:w="18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color w:val="888888"/>
                <w:sz w:val="16"/>
                <w:szCs w:val="16"/>
              </w:rPr>
              <w:t xml:space="preserve">CR-EVENTS-CONVERT-DAT-022</w:t>
            </w:r>
          </w:p>
        </w:tc>
      </w:tr>
      <w:tr>
        <w:tc>
          <w:tcPr>
            <w:tcW w:type="dxa" w:w="9360"/>
            <w:gridSpan w:val="6"/>
            <w:tcBorders>
              <w:top w:val="single" w:color="AAAAAA" w:sz="1"/>
              <w:left w:val="single" w:color="AAAAAA" w:sz="1"/>
              <w:bottom w:val="single" w:color="AAAAAA" w:sz="1"/>
              <w:right w:val="single" w:color="AAAAAA" w:sz="1"/>
            </w:tcBorders>
            <w:tcMar>
              <w:top w:type="dxa" w:w="40"/>
              <w:left w:type="dxa" w:w="100"/>
              <w:bottom w:type="dxa" w:w="80"/>
              <w:right w:type="dxa" w:w="100"/>
            </w:tcMar>
          </w:tcPr>
          <w:p>
            <w:r>
              <w:rPr>
                <w:rFonts w:ascii="Arial" w:cs="Arial" w:eastAsia="Arial" w:hAnsi="Arial"/>
                <w:b w:val="false"/>
                <w:bCs w:val="false"/>
                <w:i w:val="false"/>
                <w:iCs w:val="false"/>
                <w:color w:val="888888"/>
                <w:sz w:val="20"/>
                <w:szCs w:val="20"/>
              </w:rPr>
              <w:t xml:space="preserve">The client-relationship state of a Client Account. Applicant is the first downstream value that marks a Contact as converted. Read by conversion detection (REQ-021), Unconverted Event Attendees list (REQ-014), Reactivation Candidates list (REQ-032), and all conversion reports. Defined in Account Entity PRD.</w:t>
            </w:r>
          </w:p>
        </w:tc>
      </w:tr>
    </w:tbl>
    <w:p>
      <w:pPr>
        <w:pStyle w:val="Heading1"/>
        <w:spacing w:after="120" w:before="360"/>
      </w:pPr>
      <w:r>
        <w:rPr>
          <w:rFonts w:ascii="Arial" w:cs="Arial" w:eastAsia="Arial" w:hAnsi="Arial"/>
          <w:b/>
          <w:bCs/>
          <w:i w:val="false"/>
          <w:iCs w:val="false"/>
          <w:sz w:val="32"/>
          <w:szCs w:val="32"/>
        </w:rPr>
        <w:t xml:space="preserve">8. Data Collected</w:t>
      </w:r>
    </w:p>
    <w:p>
      <w:pPr>
        <w:spacing w:after="120"/>
      </w:pPr>
      <w:r>
        <w:rPr>
          <w:rFonts w:ascii="Arial" w:cs="Arial" w:eastAsia="Arial" w:hAnsi="Arial"/>
          <w:b w:val="false"/>
          <w:bCs w:val="false"/>
          <w:i w:val="false"/>
          <w:iCs w:val="false"/>
          <w:sz w:val="22"/>
          <w:szCs w:val="22"/>
        </w:rPr>
        <w:t xml:space="preserve">The following fields are created or updated by this process. Three new fields are introduced by this process; one of them (Account.applicantSince) is populated by a workflow owned by MN-INTAKE and triggered by CR-EVENTS-CONVERT’s need. Updates to existing fields are also listed.</w:t>
      </w:r>
    </w:p>
    <w:p>
      <w:pPr>
        <w:pStyle w:val="Heading2"/>
        <w:spacing w:after="120" w:before="240"/>
      </w:pPr>
      <w:r>
        <w:rPr>
          <w:rFonts w:ascii="Arial" w:cs="Arial" w:eastAsia="Arial" w:hAnsi="Arial"/>
          <w:b/>
          <w:bCs/>
          <w:i w:val="false"/>
          <w:iCs w:val="false"/>
          <w:sz w:val="28"/>
          <w:szCs w:val="28"/>
        </w:rPr>
        <w:t xml:space="preserve">Entity: Event Registration (New Field)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100"/>
        <w:gridCol w:w="800"/>
        <w:gridCol w:w="2400"/>
        <w:gridCol w:w="1000"/>
        <w:gridCol w:w="1860"/>
      </w:tblGrid>
      <w:tr>
        <w:tc>
          <w:tcPr>
            <w:tcW w:type="dxa" w:w="22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Field Name</w:t>
            </w:r>
          </w:p>
        </w:tc>
        <w:tc>
          <w:tcPr>
            <w:tcW w:type="dxa" w:w="11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Type</w:t>
            </w:r>
          </w:p>
        </w:tc>
        <w:tc>
          <w:tcPr>
            <w:tcW w:type="dxa" w:w="8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Required</w:t>
            </w:r>
          </w:p>
        </w:tc>
        <w:tc>
          <w:tcPr>
            <w:tcW w:type="dxa" w:w="24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Values</w:t>
            </w:r>
          </w:p>
        </w:tc>
        <w:tc>
          <w:tcPr>
            <w:tcW w:type="dxa" w:w="10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Default</w:t>
            </w:r>
          </w:p>
        </w:tc>
        <w:tc>
          <w:tcPr>
            <w:tcW w:type="dxa" w:w="186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ID</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postEventFollowUpSentAt</w:t>
            </w:r>
          </w:p>
        </w:tc>
        <w:tc>
          <w:tcPr>
            <w:tcW w:type="dxa" w:w="11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datetime</w:t>
            </w:r>
          </w:p>
        </w:tc>
        <w:tc>
          <w:tcPr>
            <w:tcW w:type="dxa" w:w="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No</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8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color w:val="888888"/>
                <w:sz w:val="16"/>
                <w:szCs w:val="16"/>
              </w:rPr>
              <w:t xml:space="preserve">CR-EVENTS-CONVERT-DAT-023</w:t>
            </w:r>
          </w:p>
        </w:tc>
      </w:tr>
      <w:tr>
        <w:tc>
          <w:tcPr>
            <w:tcW w:type="dxa" w:w="9360"/>
            <w:gridSpan w:val="6"/>
            <w:tcBorders>
              <w:top w:val="single" w:color="AAAAAA" w:sz="1"/>
              <w:left w:val="single" w:color="AAAAAA" w:sz="1"/>
              <w:bottom w:val="single" w:color="AAAAAA" w:sz="1"/>
              <w:right w:val="single" w:color="AAAAAA" w:sz="1"/>
            </w:tcBorders>
            <w:tcMar>
              <w:top w:type="dxa" w:w="40"/>
              <w:left w:type="dxa" w:w="100"/>
              <w:bottom w:type="dxa" w:w="80"/>
              <w:right w:type="dxa" w:w="100"/>
            </w:tcMar>
          </w:tcPr>
          <w:p>
            <w:r>
              <w:rPr>
                <w:rFonts w:ascii="Arial" w:cs="Arial" w:eastAsia="Arial" w:hAnsi="Arial"/>
                <w:b w:val="false"/>
                <w:bCs w:val="false"/>
                <w:i w:val="false"/>
                <w:iCs w:val="false"/>
                <w:color w:val="888888"/>
                <w:sz w:val="20"/>
                <w:szCs w:val="20"/>
              </w:rPr>
              <w:t xml:space="preserve">System-populated timestamp indicating that a post-event follow-up email (either Post-Event Thank-You or Post-Event We-Missed-You) has been dispatched to this registration. Written by the Send Post-Event Emails action per REQ-009. Enforces idempotency per REQ-004: subsequent invocations of the action skip registrations where this field is already populated. Remains blank for registrations that are Cancelled, never attended (Registered), or belong to events whose dateEnd has not yet passed. NEW FIELD introduced by this process.</w:t>
            </w:r>
          </w:p>
        </w:tc>
      </w:tr>
    </w:tbl>
    <w:p>
      <w:pPr>
        <w:spacing w:after="120"/>
      </w:pPr>
      <w:r>
        <w:rPr>
          <w:rFonts w:ascii="Arial" w:cs="Arial" w:eastAsia="Arial" w:hAnsi="Arial"/>
          <w:b w:val="false"/>
          <w:bCs w:val="false"/>
          <w:i w:val="false"/>
          <w:iCs w:val="false"/>
          <w:sz w:val="22"/>
          <w:szCs w:val="22"/>
        </w:rPr>
        <w:t xml:space="preserve"/>
      </w:r>
    </w:p>
    <w:p>
      <w:pPr>
        <w:pStyle w:val="Heading2"/>
        <w:spacing w:after="120" w:before="240"/>
      </w:pPr>
      <w:r>
        <w:rPr>
          <w:rFonts w:ascii="Arial" w:cs="Arial" w:eastAsia="Arial" w:hAnsi="Arial"/>
          <w:b/>
          <w:bCs/>
          <w:i w:val="false"/>
          <w:iCs w:val="false"/>
          <w:sz w:val="28"/>
          <w:szCs w:val="28"/>
        </w:rPr>
        <w:t xml:space="preserve">Entity: Contact (New Field)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100"/>
        <w:gridCol w:w="800"/>
        <w:gridCol w:w="2400"/>
        <w:gridCol w:w="1000"/>
        <w:gridCol w:w="1860"/>
      </w:tblGrid>
      <w:tr>
        <w:tc>
          <w:tcPr>
            <w:tcW w:type="dxa" w:w="22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Field Name</w:t>
            </w:r>
          </w:p>
        </w:tc>
        <w:tc>
          <w:tcPr>
            <w:tcW w:type="dxa" w:w="11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Type</w:t>
            </w:r>
          </w:p>
        </w:tc>
        <w:tc>
          <w:tcPr>
            <w:tcW w:type="dxa" w:w="8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Required</w:t>
            </w:r>
          </w:p>
        </w:tc>
        <w:tc>
          <w:tcPr>
            <w:tcW w:type="dxa" w:w="24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Values</w:t>
            </w:r>
          </w:p>
        </w:tc>
        <w:tc>
          <w:tcPr>
            <w:tcW w:type="dxa" w:w="10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Default</w:t>
            </w:r>
          </w:p>
        </w:tc>
        <w:tc>
          <w:tcPr>
            <w:tcW w:type="dxa" w:w="186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ID</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lastConversionPushSentAt</w:t>
            </w:r>
          </w:p>
        </w:tc>
        <w:tc>
          <w:tcPr>
            <w:tcW w:type="dxa" w:w="11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datetime</w:t>
            </w:r>
          </w:p>
        </w:tc>
        <w:tc>
          <w:tcPr>
            <w:tcW w:type="dxa" w:w="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No</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8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color w:val="888888"/>
                <w:sz w:val="16"/>
                <w:szCs w:val="16"/>
              </w:rPr>
              <w:t xml:space="preserve">CR-EVENTS-CONVERT-DAT-024</w:t>
            </w:r>
          </w:p>
        </w:tc>
      </w:tr>
      <w:tr>
        <w:tc>
          <w:tcPr>
            <w:tcW w:type="dxa" w:w="9360"/>
            <w:gridSpan w:val="6"/>
            <w:tcBorders>
              <w:top w:val="single" w:color="AAAAAA" w:sz="1"/>
              <w:left w:val="single" w:color="AAAAAA" w:sz="1"/>
              <w:bottom w:val="single" w:color="AAAAAA" w:sz="1"/>
              <w:right w:val="single" w:color="AAAAAA" w:sz="1"/>
            </w:tcBorders>
            <w:tcMar>
              <w:top w:type="dxa" w:w="40"/>
              <w:left w:type="dxa" w:w="100"/>
              <w:bottom w:type="dxa" w:w="80"/>
              <w:right w:type="dxa" w:w="100"/>
            </w:tcMar>
          </w:tcPr>
          <w:p>
            <w:r>
              <w:rPr>
                <w:rFonts w:ascii="Arial" w:cs="Arial" w:eastAsia="Arial" w:hAnsi="Arial"/>
                <w:b w:val="false"/>
                <w:bCs w:val="false"/>
                <w:i w:val="false"/>
                <w:iCs w:val="false"/>
                <w:color w:val="888888"/>
                <w:sz w:val="20"/>
                <w:szCs w:val="20"/>
              </w:rPr>
              <w:t xml:space="preserve">System-populated timestamp indicating the most recent dispatch of a conversion-push email to this Contact. Written by the conversion-push composer on send per REQ-018. Supports conversion-push effectiveness comparison between contacted and uncontacted unconverted attendees; this is the minimum tracking data required to answer that question without introducing Campaign records, Campaign Engagement records, or a dedicated engagement-tracking entity per REQ-019. Note that per-send engagement flags (opens, clicks, bounces) are not captured in v1.0; see CR-EVENTS-CONVERT-ISS-001. NEW FIELD introduced by this process.</w:t>
            </w:r>
          </w:p>
        </w:tc>
      </w:tr>
    </w:tbl>
    <w:p>
      <w:pPr>
        <w:spacing w:after="120"/>
      </w:pPr>
      <w:r>
        <w:rPr>
          <w:rFonts w:ascii="Arial" w:cs="Arial" w:eastAsia="Arial" w:hAnsi="Arial"/>
          <w:b w:val="false"/>
          <w:bCs w:val="false"/>
          <w:i w:val="false"/>
          <w:iCs w:val="false"/>
          <w:sz w:val="22"/>
          <w:szCs w:val="22"/>
        </w:rPr>
        <w:t xml:space="preserve"/>
      </w:r>
    </w:p>
    <w:p>
      <w:pPr>
        <w:pStyle w:val="Heading2"/>
        <w:spacing w:after="120" w:before="240"/>
      </w:pPr>
      <w:r>
        <w:rPr>
          <w:rFonts w:ascii="Arial" w:cs="Arial" w:eastAsia="Arial" w:hAnsi="Arial"/>
          <w:b/>
          <w:bCs/>
          <w:i w:val="false"/>
          <w:iCs w:val="false"/>
          <w:sz w:val="28"/>
          <w:szCs w:val="28"/>
        </w:rPr>
        <w:t xml:space="preserve">Entity: Account (New Field — Populated by MN-INTAKE)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100"/>
        <w:gridCol w:w="800"/>
        <w:gridCol w:w="2400"/>
        <w:gridCol w:w="1000"/>
        <w:gridCol w:w="1860"/>
      </w:tblGrid>
      <w:tr>
        <w:tc>
          <w:tcPr>
            <w:tcW w:type="dxa" w:w="22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Field Name</w:t>
            </w:r>
          </w:p>
        </w:tc>
        <w:tc>
          <w:tcPr>
            <w:tcW w:type="dxa" w:w="11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Type</w:t>
            </w:r>
          </w:p>
        </w:tc>
        <w:tc>
          <w:tcPr>
            <w:tcW w:type="dxa" w:w="8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Required</w:t>
            </w:r>
          </w:p>
        </w:tc>
        <w:tc>
          <w:tcPr>
            <w:tcW w:type="dxa" w:w="24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Values</w:t>
            </w:r>
          </w:p>
        </w:tc>
        <w:tc>
          <w:tcPr>
            <w:tcW w:type="dxa" w:w="10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Default</w:t>
            </w:r>
          </w:p>
        </w:tc>
        <w:tc>
          <w:tcPr>
            <w:tcW w:type="dxa" w:w="186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ID</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applicantSince</w:t>
            </w:r>
          </w:p>
        </w:tc>
        <w:tc>
          <w:tcPr>
            <w:tcW w:type="dxa" w:w="11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datetime</w:t>
            </w:r>
          </w:p>
        </w:tc>
        <w:tc>
          <w:tcPr>
            <w:tcW w:type="dxa" w:w="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No</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8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color w:val="888888"/>
                <w:sz w:val="16"/>
                <w:szCs w:val="16"/>
              </w:rPr>
              <w:t xml:space="preserve">CR-EVENTS-CONVERT-DAT-025</w:t>
            </w:r>
          </w:p>
        </w:tc>
      </w:tr>
      <w:tr>
        <w:tc>
          <w:tcPr>
            <w:tcW w:type="dxa" w:w="9360"/>
            <w:gridSpan w:val="6"/>
            <w:tcBorders>
              <w:top w:val="single" w:color="AAAAAA" w:sz="1"/>
              <w:left w:val="single" w:color="AAAAAA" w:sz="1"/>
              <w:bottom w:val="single" w:color="AAAAAA" w:sz="1"/>
              <w:right w:val="single" w:color="AAAAAA" w:sz="1"/>
            </w:tcBorders>
            <w:tcMar>
              <w:top w:type="dxa" w:w="40"/>
              <w:left w:type="dxa" w:w="100"/>
              <w:bottom w:type="dxa" w:w="80"/>
              <w:right w:type="dxa" w:w="100"/>
            </w:tcMar>
          </w:tcPr>
          <w:p>
            <w:r>
              <w:rPr>
                <w:rFonts w:ascii="Arial" w:cs="Arial" w:eastAsia="Arial" w:hAnsi="Arial"/>
                <w:b w:val="false"/>
                <w:bCs w:val="false"/>
                <w:i w:val="false"/>
                <w:iCs w:val="false"/>
                <w:color w:val="888888"/>
                <w:sz w:val="20"/>
                <w:szCs w:val="20"/>
              </w:rPr>
              <w:t xml:space="preserve">System-populated timestamp capturing the moment an Account’s clientStatus transitioned to Applicant. Written by MN-INTAKE workflow as part of the REQ-011 prospect-to-applicant transition (targeted update documented in Section 10). Consumed by this process as the application-side anchor for the conversion window (REQ-025), as the date displayed in the Conversion Status indicator on the Contact detail view (REQ-023), and as an input to the Median Days from Event to Application metric (REQ-027). NEW FIELD introduced by this process; owned operationally by MN-INTAKE.</w:t>
            </w:r>
          </w:p>
        </w:tc>
      </w:tr>
    </w:tbl>
    <w:p>
      <w:pPr>
        <w:spacing w:after="120"/>
      </w:pPr>
      <w:r>
        <w:rPr>
          <w:rFonts w:ascii="Arial" w:cs="Arial" w:eastAsia="Arial" w:hAnsi="Arial"/>
          <w:b w:val="false"/>
          <w:bCs w:val="false"/>
          <w:i w:val="false"/>
          <w:iCs w:val="false"/>
          <w:sz w:val="22"/>
          <w:szCs w:val="22"/>
        </w:rPr>
        <w:t xml:space="preserve"/>
      </w:r>
    </w:p>
    <w:p>
      <w:pPr>
        <w:pStyle w:val="Heading2"/>
        <w:spacing w:after="120" w:before="240"/>
      </w:pPr>
      <w:r>
        <w:rPr>
          <w:rFonts w:ascii="Arial" w:cs="Arial" w:eastAsia="Arial" w:hAnsi="Arial"/>
          <w:b/>
          <w:bCs/>
          <w:i w:val="false"/>
          <w:iCs w:val="false"/>
          <w:sz w:val="28"/>
          <w:szCs w:val="28"/>
        </w:rPr>
        <w:t xml:space="preserve">Entity: Contact (Activity-Stream Update)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100"/>
        <w:gridCol w:w="800"/>
        <w:gridCol w:w="2400"/>
        <w:gridCol w:w="1000"/>
        <w:gridCol w:w="1860"/>
      </w:tblGrid>
      <w:tr>
        <w:tc>
          <w:tcPr>
            <w:tcW w:type="dxa" w:w="22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Field Name</w:t>
            </w:r>
          </w:p>
        </w:tc>
        <w:tc>
          <w:tcPr>
            <w:tcW w:type="dxa" w:w="11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Type</w:t>
            </w:r>
          </w:p>
        </w:tc>
        <w:tc>
          <w:tcPr>
            <w:tcW w:type="dxa" w:w="8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Required</w:t>
            </w:r>
          </w:p>
        </w:tc>
        <w:tc>
          <w:tcPr>
            <w:tcW w:type="dxa" w:w="24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Values</w:t>
            </w:r>
          </w:p>
        </w:tc>
        <w:tc>
          <w:tcPr>
            <w:tcW w:type="dxa" w:w="10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Default</w:t>
            </w:r>
          </w:p>
        </w:tc>
        <w:tc>
          <w:tcPr>
            <w:tcW w:type="dxa" w:w="186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ID</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activity stream entry (conversion-push send)</w:t>
            </w:r>
          </w:p>
        </w:tc>
        <w:tc>
          <w:tcPr>
            <w:tcW w:type="dxa" w:w="11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system</w:t>
            </w:r>
          </w:p>
        </w:tc>
        <w:tc>
          <w:tcPr>
            <w:tcW w:type="dxa" w:w="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No</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8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color w:val="888888"/>
                <w:sz w:val="16"/>
                <w:szCs w:val="16"/>
              </w:rPr>
              <w:t xml:space="preserve">CR-EVENTS-CONVERT-DAT-026</w:t>
            </w:r>
          </w:p>
        </w:tc>
      </w:tr>
      <w:tr>
        <w:tc>
          <w:tcPr>
            <w:tcW w:type="dxa" w:w="9360"/>
            <w:gridSpan w:val="6"/>
            <w:tcBorders>
              <w:top w:val="single" w:color="AAAAAA" w:sz="1"/>
              <w:left w:val="single" w:color="AAAAAA" w:sz="1"/>
              <w:bottom w:val="single" w:color="AAAAAA" w:sz="1"/>
              <w:right w:val="single" w:color="AAAAAA" w:sz="1"/>
            </w:tcBorders>
            <w:tcMar>
              <w:top w:type="dxa" w:w="40"/>
              <w:left w:type="dxa" w:w="100"/>
              <w:bottom w:type="dxa" w:w="80"/>
              <w:right w:type="dxa" w:w="100"/>
            </w:tcMar>
          </w:tcPr>
          <w:p>
            <w:r>
              <w:rPr>
                <w:rFonts w:ascii="Arial" w:cs="Arial" w:eastAsia="Arial" w:hAnsi="Arial"/>
                <w:b w:val="false"/>
                <w:bCs w:val="false"/>
                <w:i w:val="false"/>
                <w:iCs w:val="false"/>
                <w:color w:val="888888"/>
                <w:sz w:val="20"/>
                <w:szCs w:val="20"/>
              </w:rPr>
              <w:t xml:space="preserve">On each conversion-push dispatch, the system records a standard activity-stream entry on the recipient Contact capturing the send timestamp, the template used, and (if present) any specific Event the outreach referenced. No dedicated send-tracking entity, no engagement flags. Per REQ-019, conversion-push sends do not create Campaign or Campaign Engagement records. The activity stream is the system-of-record for individual conversion-push sends beyond the aggregate timestamp in lastConversionPushSentAt.</w:t>
            </w:r>
          </w:p>
        </w:tc>
      </w:tr>
    </w:tbl>
    <w:p>
      <w:pPr>
        <w:spacing w:after="120"/>
      </w:pPr>
      <w:r>
        <w:rPr>
          <w:rFonts w:ascii="Arial" w:cs="Arial" w:eastAsia="Arial" w:hAnsi="Arial"/>
          <w:b w:val="false"/>
          <w:bCs w:val="false"/>
          <w:i w:val="false"/>
          <w:iCs w:val="false"/>
          <w:sz w:val="22"/>
          <w:szCs w:val="22"/>
        </w:rPr>
        <w:t xml:space="preserve"/>
      </w:r>
    </w:p>
    <w:p>
      <w:pPr>
        <w:pStyle w:val="Heading2"/>
        <w:spacing w:after="120" w:before="240"/>
      </w:pPr>
      <w:r>
        <w:rPr>
          <w:rFonts w:ascii="Arial" w:cs="Arial" w:eastAsia="Arial" w:hAnsi="Arial"/>
          <w:b/>
          <w:bCs/>
          <w:i w:val="false"/>
          <w:iCs w:val="false"/>
          <w:sz w:val="28"/>
          <w:szCs w:val="28"/>
        </w:rPr>
        <w:t xml:space="preserve">Entity: Event Registration (Activity-Stream Update)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100"/>
        <w:gridCol w:w="800"/>
        <w:gridCol w:w="2400"/>
        <w:gridCol w:w="1000"/>
        <w:gridCol w:w="1860"/>
      </w:tblGrid>
      <w:tr>
        <w:tc>
          <w:tcPr>
            <w:tcW w:type="dxa" w:w="22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Field Name</w:t>
            </w:r>
          </w:p>
        </w:tc>
        <w:tc>
          <w:tcPr>
            <w:tcW w:type="dxa" w:w="11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Type</w:t>
            </w:r>
          </w:p>
        </w:tc>
        <w:tc>
          <w:tcPr>
            <w:tcW w:type="dxa" w:w="8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Required</w:t>
            </w:r>
          </w:p>
        </w:tc>
        <w:tc>
          <w:tcPr>
            <w:tcW w:type="dxa" w:w="24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Values</w:t>
            </w:r>
          </w:p>
        </w:tc>
        <w:tc>
          <w:tcPr>
            <w:tcW w:type="dxa" w:w="10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Default</w:t>
            </w:r>
          </w:p>
        </w:tc>
        <w:tc>
          <w:tcPr>
            <w:tcW w:type="dxa" w:w="186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ID</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activity stream entry (post-event email send)</w:t>
            </w:r>
          </w:p>
        </w:tc>
        <w:tc>
          <w:tcPr>
            <w:tcW w:type="dxa" w:w="11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system</w:t>
            </w:r>
          </w:p>
        </w:tc>
        <w:tc>
          <w:tcPr>
            <w:tcW w:type="dxa" w:w="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No</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8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color w:val="888888"/>
                <w:sz w:val="16"/>
                <w:szCs w:val="16"/>
              </w:rPr>
              <w:t xml:space="preserve">CR-EVENTS-CONVERT-DAT-027</w:t>
            </w:r>
          </w:p>
        </w:tc>
      </w:tr>
      <w:tr>
        <w:tc>
          <w:tcPr>
            <w:tcW w:type="dxa" w:w="9360"/>
            <w:gridSpan w:val="6"/>
            <w:tcBorders>
              <w:top w:val="single" w:color="AAAAAA" w:sz="1"/>
              <w:left w:val="single" w:color="AAAAAA" w:sz="1"/>
              <w:bottom w:val="single" w:color="AAAAAA" w:sz="1"/>
              <w:right w:val="single" w:color="AAAAAA" w:sz="1"/>
            </w:tcBorders>
            <w:tcMar>
              <w:top w:type="dxa" w:w="40"/>
              <w:left w:type="dxa" w:w="100"/>
              <w:bottom w:type="dxa" w:w="80"/>
              <w:right w:type="dxa" w:w="100"/>
            </w:tcMar>
          </w:tcPr>
          <w:p>
            <w:r>
              <w:rPr>
                <w:rFonts w:ascii="Arial" w:cs="Arial" w:eastAsia="Arial" w:hAnsi="Arial"/>
                <w:b w:val="false"/>
                <w:bCs w:val="false"/>
                <w:i w:val="false"/>
                <w:iCs w:val="false"/>
                <w:color w:val="888888"/>
                <w:sz w:val="20"/>
                <w:szCs w:val="20"/>
              </w:rPr>
              <w:t xml:space="preserve">On each Post-Event Thank-You or Post-Event We-Missed-You dispatch, the system records a standard activity-stream entry on the Event Registration capturing the send timestamp and the template used. This is the system-of-record for which template was actually sent to this registration; postEventFollowUpSentAt records only that a send occurred, not which template. The activity-stream entry supports the Administrator’s ability to audit specific sends if needed.</w:t>
            </w:r>
          </w:p>
        </w:tc>
      </w:tr>
    </w:tbl>
    <w:p>
      <w:pPr>
        <w:pStyle w:val="Heading1"/>
        <w:spacing w:after="120" w:before="360"/>
      </w:pPr>
      <w:r>
        <w:rPr>
          <w:rFonts w:ascii="Arial" w:cs="Arial" w:eastAsia="Arial" w:hAnsi="Arial"/>
          <w:b/>
          <w:bCs/>
          <w:i w:val="false"/>
          <w:iCs w:val="false"/>
          <w:sz w:val="32"/>
          <w:szCs w:val="32"/>
        </w:rPr>
        <w:t xml:space="preserve">9. Open Issues</w:t>
      </w:r>
    </w:p>
    <w:p>
      <w:pPr>
        <w:spacing w:after="120"/>
      </w:pPr>
      <w:r>
        <w:rPr>
          <w:rFonts w:ascii="Arial" w:cs="Arial" w:eastAsia="Arial" w:hAnsi="Arial"/>
          <w:b w:val="false"/>
          <w:bCs w:val="false"/>
          <w:i w:val="false"/>
          <w:iCs w:val="false"/>
          <w:sz w:val="22"/>
          <w:szCs w:val="22"/>
        </w:rPr>
        <w:t xml:space="preserve">One new open issue is surfaced by this process. Two open issues inherited from prior documents are relevant to this process and carried forward for visibility.</w:t>
      </w:r>
    </w:p>
    <w:p>
      <w:pPr>
        <w:pStyle w:val="Heading2"/>
        <w:spacing w:after="120" w:before="240"/>
      </w:pPr>
      <w:r>
        <w:rPr>
          <w:rFonts w:ascii="Arial" w:cs="Arial" w:eastAsia="Arial" w:hAnsi="Arial"/>
          <w:b/>
          <w:bCs/>
          <w:i w:val="false"/>
          <w:iCs w:val="false"/>
          <w:sz w:val="28"/>
          <w:szCs w:val="28"/>
        </w:rPr>
        <w:t xml:space="preserve">9.1 New Open Issues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680"/>
        <w:gridCol w:w="2680"/>
      </w:tblGrid>
      <w:tr>
        <w:tc>
          <w:tcPr>
            <w:tcW w:type="dxa" w:w="20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ID</w:t>
            </w:r>
          </w:p>
        </w:tc>
        <w:tc>
          <w:tcPr>
            <w:tcW w:type="dxa" w:w="468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Description</w:t>
            </w:r>
          </w:p>
        </w:tc>
        <w:tc>
          <w:tcPr>
            <w:tcW w:type="dxa" w:w="268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Resolution Path</w:t>
            </w:r>
          </w:p>
        </w:tc>
      </w:tr>
      <w:tr>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CR-EVENTS-CONVERT-ISS-001</w:t>
            </w:r>
          </w:p>
        </w:tc>
        <w:tc>
          <w:tcPr>
            <w:tcW w:type="dxa" w:w="468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Conversion-push outreach per-send engagement tracking (opens, clicks, bounces) is deliberately out of scope for v1.0. The rationale is that conversion-push volume is small, outcome-based measurement (did the recipient apply?) answers the operational question, and Campaign infrastructure is not a good fit for the individually-curated nature of these sends. If conversion measurement proves insufficient and the Content and Event Administrator needs per-send engagement data, the capability would require either marketing-platform delivery (which contradicts the CRM-authored nature of the channel) or a new dedicated lightweight engagement-tracking entity.</w:t>
            </w:r>
          </w:p>
        </w:tc>
        <w:tc>
          <w:tcPr>
            <w:tcW w:type="dxa" w:w="268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Revisit if the aggregate lastConversionPushSentAt field proves insufficient for effectiveness analysis in practice. The resolution is either to accept the limitation permanently, to route conversion-push through the marketing platform (significant scope expansion), or to introduce a lightweight Conversion-Push Send entity. This issue should be revisited no earlier than six months after v1.0 deployment to allow operational experience to inform the decision.</w:t>
            </w:r>
          </w:p>
        </w:tc>
      </w:tr>
    </w:tbl>
    <w:p>
      <w:pPr>
        <w:pStyle w:val="Heading2"/>
        <w:spacing w:after="120" w:before="240"/>
      </w:pPr>
      <w:r>
        <w:rPr>
          <w:rFonts w:ascii="Arial" w:cs="Arial" w:eastAsia="Arial" w:hAnsi="Arial"/>
          <w:b/>
          <w:bCs/>
          <w:i w:val="false"/>
          <w:iCs w:val="false"/>
          <w:sz w:val="28"/>
          <w:szCs w:val="28"/>
        </w:rPr>
        <w:t xml:space="preserve">9.2 Open Issues Carried Forward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680"/>
        <w:gridCol w:w="2680"/>
      </w:tblGrid>
      <w:tr>
        <w:tc>
          <w:tcPr>
            <w:tcW w:type="dxa" w:w="20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ID</w:t>
            </w:r>
          </w:p>
        </w:tc>
        <w:tc>
          <w:tcPr>
            <w:tcW w:type="dxa" w:w="468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Description</w:t>
            </w:r>
          </w:p>
        </w:tc>
        <w:tc>
          <w:tcPr>
            <w:tcW w:type="dxa" w:w="268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Resolution Path</w:t>
            </w:r>
          </w:p>
        </w:tc>
      </w:tr>
      <w:tr>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CR-MARKETING-ISS-001</w:t>
            </w:r>
          </w:p>
        </w:tc>
        <w:tc>
          <w:tcPr>
            <w:tcW w:type="dxa" w:w="468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Geographic targeting model deferred pending stakeholder input. Affects the Conversion by Geography Report, which in v1.0 groups events by exact-match on free-text Event.location values. The report utility is acknowledged as low-but-nonzero until a structured geographic taxonomy is introduced.</w:t>
            </w:r>
          </w:p>
        </w:tc>
        <w:tc>
          <w:tcPr>
            <w:tcW w:type="dxa" w:w="268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Resolution belongs to CR-MARKETING. Until resolved, the Conversion by Geography Report displays free-text values as-is with a pending-taxonomy note per REQ-029. On resolution, the report is rewritten against the structured taxonomy fields.</w:t>
            </w:r>
          </w:p>
        </w:tc>
      </w:tr>
      <w:tr>
        <w:tc>
          <w:tcPr>
            <w:tcW w:type="dxa" w:w="2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CR-MARKETING-ISS-004</w:t>
            </w:r>
          </w:p>
        </w:tc>
        <w:tc>
          <w:tcPr>
            <w:tcW w:type="dxa" w:w="468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Hard-bounce threshold for automatic Contact state change is unresolved. Post-event follow-up email bounces are logged per REQ-013 but the system does not automatically suppress future sends or alter Contact state on bounce. A Contact whose post-event follow-up email bounces will still receive future event communications from CR-EVENTS-MANAGE (confirmations, reminders) and future conversion-push outreach unless the Administrator manually intervenes.</w:t>
            </w:r>
          </w:p>
        </w:tc>
        <w:tc>
          <w:tcPr>
            <w:tcW w:type="dxa" w:w="268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Resolution belongs to CR-MARKETING. Until resolved, bounce handling in this process is pass-through and the Administrator handles bounces operationally through periodic review of the lastCommunicationBouncedAt field on Event Registration and Contact records.</w:t>
            </w:r>
          </w:p>
        </w:tc>
      </w:tr>
      <w:tr>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CR-EVENTS-ISS-001</w:t>
            </w:r>
          </w:p>
        </w:tc>
        <w:tc>
          <w:tcPr>
            <w:tcW w:type="dxa" w:w="468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Event feedback surveys deferred pending future Survey Service definition. Post-event feedback collection is a natural extension of the follow-up email flow but is out of scope for CR-EVENTS v1.0. The thank-you and we-missed-you templates may link out to an external survey tool but the CRM does not capture responses.</w:t>
            </w:r>
          </w:p>
        </w:tc>
        <w:tc>
          <w:tcPr>
            <w:tcW w:type="dxa" w:w="268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Resolution belongs to the future Survey Service when defined as a cross-domain service. At that point, the CR-EVENTS-CONVERT templates would be updated to link to CRM-hosted surveys and survey response data would feed back into conversion and effectiveness reporting.</w:t>
            </w:r>
          </w:p>
        </w:tc>
      </w:tr>
    </w:tbl>
    <w:p>
      <w:pPr>
        <w:pStyle w:val="Heading1"/>
        <w:spacing w:after="120" w:before="360"/>
      </w:pPr>
      <w:r>
        <w:rPr>
          <w:rFonts w:ascii="Arial" w:cs="Arial" w:eastAsia="Arial" w:hAnsi="Arial"/>
          <w:b/>
          <w:bCs/>
          <w:i w:val="false"/>
          <w:iCs w:val="false"/>
          <w:sz w:val="32"/>
          <w:szCs w:val="32"/>
        </w:rPr>
        <w:t xml:space="preserve">10. Updates to Prior Documents</w:t>
      </w:r>
    </w:p>
    <w:p>
      <w:pPr>
        <w:spacing w:after="120"/>
      </w:pPr>
      <w:r>
        <w:rPr>
          <w:rFonts w:ascii="Arial" w:cs="Arial" w:eastAsia="Arial" w:hAnsi="Arial"/>
          <w:b w:val="false"/>
          <w:bCs w:val="false"/>
          <w:i w:val="false"/>
          <w:iCs w:val="false"/>
          <w:sz w:val="22"/>
          <w:szCs w:val="22"/>
        </w:rPr>
        <w:t xml:space="preserve">This process triggers updates to three upstream documents. Two carry-forward updates already pending from the Events Sub-Domain Overview are also listed for completeness.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380"/>
        <w:gridCol w:w="3380"/>
      </w:tblGrid>
      <w:tr>
        <w:tc>
          <w:tcPr>
            <w:tcW w:type="dxa" w:w="26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Document</w:t>
            </w:r>
          </w:p>
        </w:tc>
        <w:tc>
          <w:tcPr>
            <w:tcW w:type="dxa" w:w="338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Update Needed</w:t>
            </w:r>
          </w:p>
        </w:tc>
        <w:tc>
          <w:tcPr>
            <w:tcW w:type="dxa" w:w="338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Rationale</w:t>
            </w:r>
          </w:p>
        </w:tc>
      </w:tr>
      <w:tr>
        <w:tc>
          <w:tcPr>
            <w:tcW w:type="dxa" w:w="2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Contact-Entity-PRD.docx v1.3</w:t>
            </w:r>
          </w:p>
        </w:tc>
        <w:tc>
          <w:tcPr>
            <w:tcW w:type="dxa" w:w="338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Add lastConversionPushSentAt (datetime, optional, system-populated) as a new CR-domain field. Carry-forward also adds presenterBio (wysiwyg) and presenterTopics (multiEnum) from the Events Sub-Domain Overview. Update Section 5.7 narrative accordingly. Bumps Contact Entity PRD to v1.4.</w:t>
            </w:r>
          </w:p>
        </w:tc>
        <w:tc>
          <w:tcPr>
            <w:tcW w:type="dxa" w:w="338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The lastConversionPushSentAt field supports conversion-push effectiveness comparison (REQ-018) and is the minimum tracking needed without introducing Campaign records for conversion-push sends (REQ-019). Consolidates with the two presenter fields already pending carry-forward from the Sub-Domain Overview.</w:t>
            </w:r>
          </w:p>
        </w:tc>
      </w:tr>
      <w:tr>
        <w:tc>
          <w:tcPr>
            <w:tcW w:type="dxa" w:w="26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Account-Entity-PRD.docx v1.3</w:t>
            </w:r>
          </w:p>
        </w:tc>
        <w:tc>
          <w:tcPr>
            <w:tcW w:type="dxa" w:w="338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Add applicantSince (datetime, optional, system-populated by MN-INTAKE) as a new field. Bumps Account Entity PRD to v1.4.</w:t>
            </w:r>
          </w:p>
        </w:tc>
        <w:tc>
          <w:tcPr>
            <w:tcW w:type="dxa" w:w="338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The applicantSince field is the application-side anchor for the conversion window (REQ-025) and is displayed as the conversion date in the Contact detail view indicator (REQ-023). Populating it at the moment of the prospect-to-applicant transition is the minimum change required to support accurate conversion timing reporting.</w:t>
            </w:r>
          </w:p>
        </w:tc>
      </w:tr>
      <w:tr>
        <w:tc>
          <w:tcPr>
            <w:tcW w:type="dxa" w:w="2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MN-INTAKE.docx v2.3</w:t>
            </w:r>
          </w:p>
        </w:tc>
        <w:tc>
          <w:tcPr>
            <w:tcW w:type="dxa" w:w="338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Extend MN-INTAKE-REQ-011 to system-populate Account.applicantSince with the current timestamp at the same moment that clientStatus is set to Applicant. The requirement text would gain: “The system must also populate Account.applicantSince with the current timestamp at this transition.” Bumps MN-INTAKE to v2.4.</w:t>
            </w:r>
          </w:p>
        </w:tc>
        <w:tc>
          <w:tcPr>
            <w:tcW w:type="dxa" w:w="338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The applicantSince field is introduced to support CR-EVENTS-CONVERT conversion reporting (REQ-024, REQ-025, REQ-027), but the only workflow that knows when clientStatus transitions to Applicant is MN-INTAKE. The write must happen in the MN-INTAKE-owned workflow. This is a minimal, targeted requirement addition — one field write coupled to an existing transition — and does not expand MN-INTAKE’s scope otherwise.</w:t>
            </w:r>
          </w:p>
        </w:tc>
      </w:tr>
      <w:tr>
        <w:tc>
          <w:tcPr>
            <w:tcW w:type="dxa" w:w="26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CBM-Domain-Overview-ClientRecruiting.docx v1.1</w:t>
            </w:r>
          </w:p>
        </w:tc>
        <w:tc>
          <w:tcPr>
            <w:tcW w:type="dxa" w:w="338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Carry-forward from Events Sub-Domain Overview: add CR-EVENTS-ISS-001 to the Section 4.7 open issues table. No new items from this session beyond what the Sub-Domain Overview already surfaced. Bumps CR Domain Overview to v1.2.</w:t>
            </w:r>
          </w:p>
        </w:tc>
        <w:tc>
          <w:tcPr>
            <w:tcW w:type="dxa" w:w="338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This update was already pending from the Sub-Domain Overview session. Listed here for tracking completeness; no new content from this process.</w:t>
            </w:r>
          </w:p>
        </w:tc>
      </w:tr>
    </w:tbl>
    <w:p>
      <w:pPr>
        <w:pStyle w:val="Heading1"/>
        <w:spacing w:after="120" w:before="360"/>
      </w:pPr>
      <w:r>
        <w:rPr>
          <w:rFonts w:ascii="Arial" w:cs="Arial" w:eastAsia="Arial" w:hAnsi="Arial"/>
          <w:b/>
          <w:bCs/>
          <w:i w:val="false"/>
          <w:iCs w:val="false"/>
          <w:sz w:val="32"/>
          <w:szCs w:val="32"/>
        </w:rPr>
        <w:t xml:space="preserve">11. Interview Transcript</w:t>
      </w:r>
    </w:p>
    <w:p>
      <w:pPr>
        <w:spacing w:after="120"/>
      </w:pPr>
      <w:r>
        <w:rPr>
          <w:rFonts w:ascii="Arial" w:cs="Arial" w:eastAsia="Arial" w:hAnsi="Arial"/>
          <w:b w:val="false"/>
          <w:bCs w:val="false"/>
          <w:i w:val="false"/>
          <w:iCs w:val="false"/>
          <w:sz w:val="22"/>
          <w:szCs w:val="22"/>
        </w:rPr>
        <w:t xml:space="preserve">The interview walked through eleven topic clusters derived from the session prompt. Decisions on each are captured below, organized by topic area.</w:t>
      </w:r>
    </w:p>
    <w:p>
      <w:pPr>
        <w:pStyle w:val="Heading3"/>
        <w:spacing w:after="120" w:before="240"/>
      </w:pPr>
      <w:r>
        <w:rPr>
          <w:rFonts w:ascii="Arial" w:cs="Arial" w:eastAsia="Arial" w:hAnsi="Arial"/>
          <w:b/>
          <w:bCs/>
          <w:i w:val="false"/>
          <w:iCs w:val="false"/>
          <w:sz w:val="24"/>
          <w:szCs w:val="24"/>
        </w:rPr>
        <w:t xml:space="preserve">Automated Follow-Up Trigger</w:t>
      </w:r>
    </w:p>
    <w:p>
      <w:pPr>
        <w:spacing w:after="40" w:before="120"/>
      </w:pPr>
      <w:r>
        <w:rPr>
          <w:rFonts w:ascii="Arial" w:cs="Arial" w:eastAsia="Arial" w:hAnsi="Arial"/>
          <w:b/>
          <w:bCs/>
          <w:i w:val="false"/>
          <w:iCs w:val="false"/>
          <w:sz w:val="20"/>
          <w:szCs w:val="20"/>
        </w:rPr>
        <w:t xml:space="preserve">Q: </w:t>
      </w:r>
      <w:r>
        <w:rPr>
          <w:rFonts w:ascii="Arial" w:cs="Arial" w:eastAsia="Arial" w:hAnsi="Arial"/>
          <w:b w:val="false"/>
          <w:bCs w:val="false"/>
          <w:i w:val="false"/>
          <w:iCs w:val="false"/>
          <w:sz w:val="20"/>
          <w:szCs w:val="20"/>
        </w:rPr>
        <w:t xml:space="preserve">Given that Event.status = Completed is manual and unreliable, what triggers the thank-you and we-missed-you dispatch?</w:t>
      </w:r>
    </w:p>
    <w:p>
      <w:pPr>
        <w:spacing w:after="80"/>
      </w:pPr>
      <w:r>
        <w:rPr>
          <w:rFonts w:ascii="Arial" w:cs="Arial" w:eastAsia="Arial" w:hAnsi="Arial"/>
          <w:b/>
          <w:bCs/>
          <w:i w:val="false"/>
          <w:iCs w:val="false"/>
          <w:sz w:val="20"/>
          <w:szCs w:val="20"/>
        </w:rPr>
        <w:t xml:space="preserve">A: </w:t>
      </w:r>
      <w:r>
        <w:rPr>
          <w:rFonts w:ascii="Arial" w:cs="Arial" w:eastAsia="Arial" w:hAnsi="Arial"/>
          <w:b w:val="false"/>
          <w:bCs w:val="false"/>
          <w:i w:val="false"/>
          <w:iCs w:val="false"/>
          <w:sz w:val="20"/>
          <w:szCs w:val="20"/>
        </w:rPr>
        <w:t xml:space="preserve">Three options were considered: time-based scheduled evaluation keyed off Event.dateEnd; manual action on the Event detail view; and a hybrid scheduled-but-gated-on-attendance-recorded approach. On reflection about what the target CRM can reliably support without pushing the design into untested territory, the manual action is chosen.</w:t>
      </w:r>
    </w:p>
    <w:p>
      <w:pPr>
        <w:spacing w:after="200" w:before="40"/>
        <w:ind w:left="360"/>
      </w:pPr>
      <w:r>
        <w:rPr>
          <w:rFonts w:ascii="Arial" w:cs="Arial" w:eastAsia="Arial" w:hAnsi="Arial"/>
          <w:b/>
          <w:bCs/>
          <w:i/>
          <w:iCs/>
          <w:sz w:val="20"/>
          <w:szCs w:val="20"/>
        </w:rPr>
        <w:t xml:space="preserve">Decision: </w:t>
      </w:r>
      <w:r>
        <w:rPr>
          <w:rFonts w:ascii="Arial" w:cs="Arial" w:eastAsia="Arial" w:hAnsi="Arial"/>
          <w:b w:val="false"/>
          <w:bCs w:val="false"/>
          <w:i/>
          <w:iCs/>
          <w:sz w:val="20"/>
          <w:szCs w:val="20"/>
        </w:rPr>
        <w:t xml:space="preserve">Send Post-Event Emails is a manual action on the Event detail view. The action always visible; if dateEnd has not yet passed, the action shows an explanatory message rather than firing. No scheduler involved. Mechanically analogous to the bulk-update attendance actions already committed to in CR-EVENTS-MANAGE.</w:t>
      </w:r>
    </w:p>
    <w:p>
      <w:pPr>
        <w:spacing w:after="40" w:before="120"/>
      </w:pPr>
      <w:r>
        <w:rPr>
          <w:rFonts w:ascii="Arial" w:cs="Arial" w:eastAsia="Arial" w:hAnsi="Arial"/>
          <w:b/>
          <w:bCs/>
          <w:i w:val="false"/>
          <w:iCs w:val="false"/>
          <w:sz w:val="20"/>
          <w:szCs w:val="20"/>
        </w:rPr>
        <w:t xml:space="preserve">Q: </w:t>
      </w:r>
      <w:r>
        <w:rPr>
          <w:rFonts w:ascii="Arial" w:cs="Arial" w:eastAsia="Arial" w:hAnsi="Arial"/>
          <w:b w:val="false"/>
          <w:bCs w:val="false"/>
          <w:i w:val="false"/>
          <w:iCs w:val="false"/>
          <w:sz w:val="20"/>
          <w:szCs w:val="20"/>
        </w:rPr>
        <w:t xml:space="preserve">How are Event Registrations still at attendanceStatus = Registered handled when the action is invoked?</w:t>
      </w:r>
    </w:p>
    <w:p>
      <w:pPr>
        <w:spacing w:after="80"/>
      </w:pPr>
      <w:r>
        <w:rPr>
          <w:rFonts w:ascii="Arial" w:cs="Arial" w:eastAsia="Arial" w:hAnsi="Arial"/>
          <w:b/>
          <w:bCs/>
          <w:i w:val="false"/>
          <w:iCs w:val="false"/>
          <w:sz w:val="20"/>
          <w:szCs w:val="20"/>
        </w:rPr>
        <w:t xml:space="preserve">A: </w:t>
      </w:r>
      <w:r>
        <w:rPr>
          <w:rFonts w:ascii="Arial" w:cs="Arial" w:eastAsia="Arial" w:hAnsi="Arial"/>
          <w:b w:val="false"/>
          <w:bCs w:val="false"/>
          <w:i w:val="false"/>
          <w:iCs w:val="false"/>
          <w:sz w:val="20"/>
          <w:szCs w:val="20"/>
        </w:rPr>
        <w:t xml:space="preserve">Options considered: route them as No-Show for follow-up; skip them entirely; or block the action until every registration has a non-Registered attendanceStatus. Skip them entirely is chosen.</w:t>
      </w:r>
    </w:p>
    <w:p>
      <w:pPr>
        <w:spacing w:after="200" w:before="40"/>
        <w:ind w:left="360"/>
      </w:pPr>
      <w:r>
        <w:rPr>
          <w:rFonts w:ascii="Arial" w:cs="Arial" w:eastAsia="Arial" w:hAnsi="Arial"/>
          <w:b/>
          <w:bCs/>
          <w:i/>
          <w:iCs/>
          <w:sz w:val="20"/>
          <w:szCs w:val="20"/>
        </w:rPr>
        <w:t xml:space="preserve">Decision: </w:t>
      </w:r>
      <w:r>
        <w:rPr>
          <w:rFonts w:ascii="Arial" w:cs="Arial" w:eastAsia="Arial" w:hAnsi="Arial"/>
          <w:b w:val="false"/>
          <w:bCs w:val="false"/>
          <w:i/>
          <w:iCs/>
          <w:sz w:val="20"/>
          <w:szCs w:val="20"/>
        </w:rPr>
        <w:t xml:space="preserve">Registered registrations are skipped. The Administrator can record attendance later and re-run the action; newly resolved registrations will then be dispatched to while previously sent registrations are protected by idempotency.</w:t>
      </w:r>
    </w:p>
    <w:p>
      <w:pPr>
        <w:spacing w:after="40" w:before="120"/>
      </w:pPr>
      <w:r>
        <w:rPr>
          <w:rFonts w:ascii="Arial" w:cs="Arial" w:eastAsia="Arial" w:hAnsi="Arial"/>
          <w:b/>
          <w:bCs/>
          <w:i w:val="false"/>
          <w:iCs w:val="false"/>
          <w:sz w:val="20"/>
          <w:szCs w:val="20"/>
        </w:rPr>
        <w:t xml:space="preserve">Q: </w:t>
      </w:r>
      <w:r>
        <w:rPr>
          <w:rFonts w:ascii="Arial" w:cs="Arial" w:eastAsia="Arial" w:hAnsi="Arial"/>
          <w:b w:val="false"/>
          <w:bCs w:val="false"/>
          <w:i w:val="false"/>
          <w:iCs w:val="false"/>
          <w:sz w:val="20"/>
          <w:szCs w:val="20"/>
        </w:rPr>
        <w:t xml:space="preserve">Is the action idempotent — can it be safely re-run?</w:t>
      </w:r>
    </w:p>
    <w:p>
      <w:pPr>
        <w:spacing w:after="80"/>
      </w:pPr>
      <w:r>
        <w:rPr>
          <w:rFonts w:ascii="Arial" w:cs="Arial" w:eastAsia="Arial" w:hAnsi="Arial"/>
          <w:b/>
          <w:bCs/>
          <w:i w:val="false"/>
          <w:iCs w:val="false"/>
          <w:sz w:val="20"/>
          <w:szCs w:val="20"/>
        </w:rPr>
        <w:t xml:space="preserve">A: </w:t>
      </w:r>
      <w:r>
        <w:rPr>
          <w:rFonts w:ascii="Arial" w:cs="Arial" w:eastAsia="Arial" w:hAnsi="Arial"/>
          <w:b w:val="false"/>
          <w:bCs w:val="false"/>
          <w:i w:val="false"/>
          <w:iCs w:val="false"/>
          <w:sz w:val="20"/>
          <w:szCs w:val="20"/>
        </w:rPr>
        <w:t xml:space="preserve">Options considered: idempotent via a postEventFollowUpSentAt tracking field; non-idempotent (every click sends); or idempotent with a deliberate resend override. Idempotent via tracking field with no override chosen.</w:t>
      </w:r>
    </w:p>
    <w:p>
      <w:pPr>
        <w:spacing w:after="200" w:before="40"/>
        <w:ind w:left="360"/>
      </w:pPr>
      <w:r>
        <w:rPr>
          <w:rFonts w:ascii="Arial" w:cs="Arial" w:eastAsia="Arial" w:hAnsi="Arial"/>
          <w:b/>
          <w:bCs/>
          <w:i/>
          <w:iCs/>
          <w:sz w:val="20"/>
          <w:szCs w:val="20"/>
        </w:rPr>
        <w:t xml:space="preserve">Decision: </w:t>
      </w:r>
      <w:r>
        <w:rPr>
          <w:rFonts w:ascii="Arial" w:cs="Arial" w:eastAsia="Arial" w:hAnsi="Arial"/>
          <w:b w:val="false"/>
          <w:bCs w:val="false"/>
          <w:i/>
          <w:iCs/>
          <w:sz w:val="20"/>
          <w:szCs w:val="20"/>
        </w:rPr>
        <w:t xml:space="preserve">A new postEventFollowUpSentAt datetime field on Event Registration is added. The action skips registrations where the field is populated. No resend override in v1.0; if a recipient needs a corrected send, the Administrator handles it as a one-off direct email.</w:t>
      </w:r>
    </w:p>
    <w:p>
      <w:pPr>
        <w:pStyle w:val="Heading3"/>
        <w:spacing w:after="120" w:before="240"/>
      </w:pPr>
      <w:r>
        <w:rPr>
          <w:rFonts w:ascii="Arial" w:cs="Arial" w:eastAsia="Arial" w:hAnsi="Arial"/>
          <w:b/>
          <w:bCs/>
          <w:i w:val="false"/>
          <w:iCs w:val="false"/>
          <w:sz w:val="24"/>
          <w:szCs w:val="24"/>
        </w:rPr>
        <w:t xml:space="preserve">Opt-Out Handling for Post-Event Communications</w:t>
      </w:r>
    </w:p>
    <w:p>
      <w:pPr>
        <w:spacing w:after="40" w:before="120"/>
      </w:pPr>
      <w:r>
        <w:rPr>
          <w:rFonts w:ascii="Arial" w:cs="Arial" w:eastAsia="Arial" w:hAnsi="Arial"/>
          <w:b/>
          <w:bCs/>
          <w:i w:val="false"/>
          <w:iCs w:val="false"/>
          <w:sz w:val="20"/>
          <w:szCs w:val="20"/>
        </w:rPr>
        <w:t xml:space="preserve">Q: </w:t>
      </w:r>
      <w:r>
        <w:rPr>
          <w:rFonts w:ascii="Arial" w:cs="Arial" w:eastAsia="Arial" w:hAnsi="Arial"/>
          <w:b w:val="false"/>
          <w:bCs w:val="false"/>
          <w:i w:val="false"/>
          <w:iCs w:val="false"/>
          <w:sz w:val="20"/>
          <w:szCs w:val="20"/>
        </w:rPr>
        <w:t xml:space="preserve">Does the thank-you email honor Contact.emailOptOut? The we-missed-you email? The manual conversion-push outreach?</w:t>
      </w:r>
    </w:p>
    <w:p>
      <w:pPr>
        <w:spacing w:after="80"/>
      </w:pPr>
      <w:r>
        <w:rPr>
          <w:rFonts w:ascii="Arial" w:cs="Arial" w:eastAsia="Arial" w:hAnsi="Arial"/>
          <w:b/>
          <w:bCs/>
          <w:i w:val="false"/>
          <w:iCs w:val="false"/>
          <w:sz w:val="20"/>
          <w:szCs w:val="20"/>
        </w:rPr>
        <w:t xml:space="preserve">A: </w:t>
      </w:r>
      <w:r>
        <w:rPr>
          <w:rFonts w:ascii="Arial" w:cs="Arial" w:eastAsia="Arial" w:hAnsi="Arial"/>
          <w:b w:val="false"/>
          <w:bCs w:val="false"/>
          <w:i w:val="false"/>
          <w:iCs w:val="false"/>
          <w:sz w:val="20"/>
          <w:szCs w:val="20"/>
        </w:rPr>
        <w:t xml:space="preserve">Three framings considered: all three types as transactional (ignore emailOptOut); all three as marketing (honor it); or split by type. Split by type chosen.</w:t>
      </w:r>
    </w:p>
    <w:p>
      <w:pPr>
        <w:spacing w:after="200" w:before="40"/>
        <w:ind w:left="360"/>
      </w:pPr>
      <w:r>
        <w:rPr>
          <w:rFonts w:ascii="Arial" w:cs="Arial" w:eastAsia="Arial" w:hAnsi="Arial"/>
          <w:b/>
          <w:bCs/>
          <w:i/>
          <w:iCs/>
          <w:sz w:val="20"/>
          <w:szCs w:val="20"/>
        </w:rPr>
        <w:t xml:space="preserve">Decision: </w:t>
      </w:r>
      <w:r>
        <w:rPr>
          <w:rFonts w:ascii="Arial" w:cs="Arial" w:eastAsia="Arial" w:hAnsi="Arial"/>
          <w:b w:val="false"/>
          <w:bCs w:val="false"/>
          <w:i/>
          <w:iCs/>
          <w:sz w:val="20"/>
          <w:szCs w:val="20"/>
        </w:rPr>
        <w:t xml:space="preserve">Thank-you and we-missed-you emails are transactional — ignore emailOptOut. They are tied to a specific event the recipient registered for and contain event-specific content. Manual conversion-push outreach is marketing — honors emailOptOut. Its content is forward-looking solicitation rather than event-specific. The distinction tracks the CAN-SPAM line cleanly.</w:t>
      </w:r>
    </w:p>
    <w:p>
      <w:pPr>
        <w:pStyle w:val="Heading3"/>
        <w:spacing w:after="120" w:before="240"/>
      </w:pPr>
      <w:r>
        <w:rPr>
          <w:rFonts w:ascii="Arial" w:cs="Arial" w:eastAsia="Arial" w:hAnsi="Arial"/>
          <w:b/>
          <w:bCs/>
          <w:i w:val="false"/>
          <w:iCs w:val="false"/>
          <w:sz w:val="24"/>
          <w:szCs w:val="24"/>
        </w:rPr>
        <w:t xml:space="preserve">Template Structure</w:t>
      </w:r>
    </w:p>
    <w:p>
      <w:pPr>
        <w:spacing w:after="40" w:before="120"/>
      </w:pPr>
      <w:r>
        <w:rPr>
          <w:rFonts w:ascii="Arial" w:cs="Arial" w:eastAsia="Arial" w:hAnsi="Arial"/>
          <w:b/>
          <w:bCs/>
          <w:i w:val="false"/>
          <w:iCs w:val="false"/>
          <w:sz w:val="20"/>
          <w:szCs w:val="20"/>
        </w:rPr>
        <w:t xml:space="preserve">Q: </w:t>
      </w:r>
      <w:r>
        <w:rPr>
          <w:rFonts w:ascii="Arial" w:cs="Arial" w:eastAsia="Arial" w:hAnsi="Arial"/>
          <w:b w:val="false"/>
          <w:bCs w:val="false"/>
          <w:i w:val="false"/>
          <w:iCs w:val="false"/>
          <w:sz w:val="20"/>
          <w:szCs w:val="20"/>
        </w:rPr>
        <w:t xml:space="preserve">Is a new postEventRecordingUrl field needed on Event, distinct from the existing recordingUrl?</w:t>
      </w:r>
    </w:p>
    <w:p>
      <w:pPr>
        <w:spacing w:after="80"/>
      </w:pPr>
      <w:r>
        <w:rPr>
          <w:rFonts w:ascii="Arial" w:cs="Arial" w:eastAsia="Arial" w:hAnsi="Arial"/>
          <w:b/>
          <w:bCs/>
          <w:i w:val="false"/>
          <w:iCs w:val="false"/>
          <w:sz w:val="20"/>
          <w:szCs w:val="20"/>
        </w:rPr>
        <w:t xml:space="preserve">A: </w:t>
      </w:r>
      <w:r>
        <w:rPr>
          <w:rFonts w:ascii="Arial" w:cs="Arial" w:eastAsia="Arial" w:hAnsi="Arial"/>
          <w:b w:val="false"/>
          <w:bCs w:val="false"/>
          <w:i w:val="false"/>
          <w:iCs w:val="false"/>
          <w:sz w:val="20"/>
          <w:szCs w:val="20"/>
        </w:rPr>
        <w:t xml:space="preserve">No. The existing recordingUrl field was defined in CR-EVENTS-MANAGE as a post-delivery reference field, which is exactly the semantic needed.</w:t>
      </w:r>
    </w:p>
    <w:p>
      <w:pPr>
        <w:spacing w:after="200" w:before="40"/>
        <w:ind w:left="360"/>
      </w:pPr>
      <w:r>
        <w:rPr>
          <w:rFonts w:ascii="Arial" w:cs="Arial" w:eastAsia="Arial" w:hAnsi="Arial"/>
          <w:b/>
          <w:bCs/>
          <w:i/>
          <w:iCs/>
          <w:sz w:val="20"/>
          <w:szCs w:val="20"/>
        </w:rPr>
        <w:t xml:space="preserve">Decision: </w:t>
      </w:r>
      <w:r>
        <w:rPr>
          <w:rFonts w:ascii="Arial" w:cs="Arial" w:eastAsia="Arial" w:hAnsi="Arial"/>
          <w:b w:val="false"/>
          <w:bCs w:val="false"/>
          <w:i/>
          <w:iCs/>
          <w:sz w:val="20"/>
          <w:szCs w:val="20"/>
        </w:rPr>
        <w:t xml:space="preserve">Reuse existing recordingUrl. No new field. Conditional template rendering handles the empty case.</w:t>
      </w:r>
    </w:p>
    <w:p>
      <w:pPr>
        <w:spacing w:after="40" w:before="120"/>
      </w:pPr>
      <w:r>
        <w:rPr>
          <w:rFonts w:ascii="Arial" w:cs="Arial" w:eastAsia="Arial" w:hAnsi="Arial"/>
          <w:b/>
          <w:bCs/>
          <w:i w:val="false"/>
          <w:iCs w:val="false"/>
          <w:sz w:val="20"/>
          <w:szCs w:val="20"/>
        </w:rPr>
        <w:t xml:space="preserve">Q: </w:t>
      </w:r>
      <w:r>
        <w:rPr>
          <w:rFonts w:ascii="Arial" w:cs="Arial" w:eastAsia="Arial" w:hAnsi="Arial"/>
          <w:b w:val="false"/>
          <w:bCs w:val="false"/>
          <w:i w:val="false"/>
          <w:iCs w:val="false"/>
          <w:sz w:val="20"/>
          <w:szCs w:val="20"/>
        </w:rPr>
        <w:t xml:space="preserve">Is a structured nextEventSuggestion field needed to parameterize a “next event of this topic” section in the template?</w:t>
      </w:r>
    </w:p>
    <w:p>
      <w:pPr>
        <w:spacing w:after="80"/>
      </w:pPr>
      <w:r>
        <w:rPr>
          <w:rFonts w:ascii="Arial" w:cs="Arial" w:eastAsia="Arial" w:hAnsi="Arial"/>
          <w:b/>
          <w:bCs/>
          <w:i w:val="false"/>
          <w:iCs w:val="false"/>
          <w:sz w:val="20"/>
          <w:szCs w:val="20"/>
        </w:rPr>
        <w:t xml:space="preserve">A: </w:t>
      </w:r>
      <w:r>
        <w:rPr>
          <w:rFonts w:ascii="Arial" w:cs="Arial" w:eastAsia="Arial" w:hAnsi="Arial"/>
          <w:b w:val="false"/>
          <w:bCs w:val="false"/>
          <w:i w:val="false"/>
          <w:iCs w:val="false"/>
          <w:sz w:val="20"/>
          <w:szCs w:val="20"/>
        </w:rPr>
        <w:t xml:space="preserve">No. Manual selection puts ongoing work on the Administrator; system-derived suggestions are fragile across real-world cases; a generic upcoming-events landing page link is sufficient for the automated templates. Personalized next-event recommendations belong in the manual conversion-push channel.</w:t>
      </w:r>
    </w:p>
    <w:p>
      <w:pPr>
        <w:spacing w:after="200" w:before="40"/>
        <w:ind w:left="360"/>
      </w:pPr>
      <w:r>
        <w:rPr>
          <w:rFonts w:ascii="Arial" w:cs="Arial" w:eastAsia="Arial" w:hAnsi="Arial"/>
          <w:b/>
          <w:bCs/>
          <w:i/>
          <w:iCs/>
          <w:sz w:val="20"/>
          <w:szCs w:val="20"/>
        </w:rPr>
        <w:t xml:space="preserve">Decision: </w:t>
      </w:r>
      <w:r>
        <w:rPr>
          <w:rFonts w:ascii="Arial" w:cs="Arial" w:eastAsia="Arial" w:hAnsi="Arial"/>
          <w:b w:val="false"/>
          <w:bCs w:val="false"/>
          <w:i/>
          <w:iCs/>
          <w:sz w:val="20"/>
          <w:szCs w:val="20"/>
        </w:rPr>
        <w:t xml:space="preserve">No structured next-event suggestion in v1.0 templates. Templates link to a generic upcoming-events landing page. Event-specific recommendations go through conversion-push.</w:t>
      </w:r>
    </w:p>
    <w:p>
      <w:pPr>
        <w:spacing w:after="40" w:before="120"/>
      </w:pPr>
      <w:r>
        <w:rPr>
          <w:rFonts w:ascii="Arial" w:cs="Arial" w:eastAsia="Arial" w:hAnsi="Arial"/>
          <w:b/>
          <w:bCs/>
          <w:i w:val="false"/>
          <w:iCs w:val="false"/>
          <w:sz w:val="20"/>
          <w:szCs w:val="20"/>
        </w:rPr>
        <w:t xml:space="preserve">Q: </w:t>
      </w:r>
      <w:r>
        <w:rPr>
          <w:rFonts w:ascii="Arial" w:cs="Arial" w:eastAsia="Arial" w:hAnsi="Arial"/>
          <w:b w:val="false"/>
          <w:bCs w:val="false"/>
          <w:i w:val="false"/>
          <w:iCs w:val="false"/>
          <w:sz w:val="20"/>
          <w:szCs w:val="20"/>
        </w:rPr>
        <w:t xml:space="preserve">Are any other Event fields needed for templating?</w:t>
      </w:r>
    </w:p>
    <w:p>
      <w:pPr>
        <w:spacing w:after="80"/>
      </w:pPr>
      <w:r>
        <w:rPr>
          <w:rFonts w:ascii="Arial" w:cs="Arial" w:eastAsia="Arial" w:hAnsi="Arial"/>
          <w:b/>
          <w:bCs/>
          <w:i w:val="false"/>
          <w:iCs w:val="false"/>
          <w:sz w:val="20"/>
          <w:szCs w:val="20"/>
        </w:rPr>
        <w:t xml:space="preserve">A: </w:t>
      </w:r>
      <w:r>
        <w:rPr>
          <w:rFonts w:ascii="Arial" w:cs="Arial" w:eastAsia="Arial" w:hAnsi="Arial"/>
          <w:b w:val="false"/>
          <w:bCs w:val="false"/>
          <w:i w:val="false"/>
          <w:iCs w:val="false"/>
          <w:sz w:val="20"/>
          <w:szCs w:val="20"/>
        </w:rPr>
        <w:t xml:space="preserve">No. The existing Event field set plus the existing Contact and Event Registration fields are sufficient.</w:t>
      </w:r>
    </w:p>
    <w:p>
      <w:pPr>
        <w:spacing w:after="200" w:before="40"/>
        <w:ind w:left="360"/>
      </w:pPr>
      <w:r>
        <w:rPr>
          <w:rFonts w:ascii="Arial" w:cs="Arial" w:eastAsia="Arial" w:hAnsi="Arial"/>
          <w:b/>
          <w:bCs/>
          <w:i/>
          <w:iCs/>
          <w:sz w:val="20"/>
          <w:szCs w:val="20"/>
        </w:rPr>
        <w:t xml:space="preserve">Decision: </w:t>
      </w:r>
      <w:r>
        <w:rPr>
          <w:rFonts w:ascii="Arial" w:cs="Arial" w:eastAsia="Arial" w:hAnsi="Arial"/>
          <w:b w:val="false"/>
          <w:bCs w:val="false"/>
          <w:i/>
          <w:iCs/>
          <w:sz w:val="20"/>
          <w:szCs w:val="20"/>
        </w:rPr>
        <w:t xml:space="preserve">Net new Event fields introduced by this process: zero.</w:t>
      </w:r>
    </w:p>
    <w:p>
      <w:pPr>
        <w:pStyle w:val="Heading3"/>
        <w:spacing w:after="120" w:before="240"/>
      </w:pPr>
      <w:r>
        <w:rPr>
          <w:rFonts w:ascii="Arial" w:cs="Arial" w:eastAsia="Arial" w:hAnsi="Arial"/>
          <w:b/>
          <w:bCs/>
          <w:i w:val="false"/>
          <w:iCs w:val="false"/>
          <w:sz w:val="24"/>
          <w:szCs w:val="24"/>
        </w:rPr>
        <w:t xml:space="preserve">Conversion-Push Outreach — Target List</w:t>
      </w:r>
    </w:p>
    <w:p>
      <w:pPr>
        <w:spacing w:after="40" w:before="120"/>
      </w:pPr>
      <w:r>
        <w:rPr>
          <w:rFonts w:ascii="Arial" w:cs="Arial" w:eastAsia="Arial" w:hAnsi="Arial"/>
          <w:b/>
          <w:bCs/>
          <w:i w:val="false"/>
          <w:iCs w:val="false"/>
          <w:sz w:val="20"/>
          <w:szCs w:val="20"/>
        </w:rPr>
        <w:t xml:space="preserve">Q: </w:t>
      </w:r>
      <w:r>
        <w:rPr>
          <w:rFonts w:ascii="Arial" w:cs="Arial" w:eastAsia="Arial" w:hAnsi="Arial"/>
          <w:b w:val="false"/>
          <w:bCs w:val="false"/>
          <w:i w:val="false"/>
          <w:iCs w:val="false"/>
          <w:sz w:val="20"/>
          <w:szCs w:val="20"/>
        </w:rPr>
        <w:t xml:space="preserve">How does the Administrator select the conversion-push target list?</w:t>
      </w:r>
    </w:p>
    <w:p>
      <w:pPr>
        <w:spacing w:after="80"/>
      </w:pPr>
      <w:r>
        <w:rPr>
          <w:rFonts w:ascii="Arial" w:cs="Arial" w:eastAsia="Arial" w:hAnsi="Arial"/>
          <w:b/>
          <w:bCs/>
          <w:i w:val="false"/>
          <w:iCs w:val="false"/>
          <w:sz w:val="20"/>
          <w:szCs w:val="20"/>
        </w:rPr>
        <w:t xml:space="preserve">A: </w:t>
      </w:r>
      <w:r>
        <w:rPr>
          <w:rFonts w:ascii="Arial" w:cs="Arial" w:eastAsia="Arial" w:hAnsi="Arial"/>
          <w:b w:val="false"/>
          <w:bCs w:val="false"/>
          <w:i w:val="false"/>
          <w:iCs w:val="false"/>
          <w:sz w:val="20"/>
          <w:szCs w:val="20"/>
        </w:rPr>
        <w:t xml:space="preserve">Three options considered: saved Contact list with adjustable filters; saved Event Registration list; per-Event drill path. Saved Contact list chosen.</w:t>
      </w:r>
    </w:p>
    <w:p>
      <w:pPr>
        <w:spacing w:after="200" w:before="40"/>
        <w:ind w:left="360"/>
      </w:pPr>
      <w:r>
        <w:rPr>
          <w:rFonts w:ascii="Arial" w:cs="Arial" w:eastAsia="Arial" w:hAnsi="Arial"/>
          <w:b/>
          <w:bCs/>
          <w:i/>
          <w:iCs/>
          <w:sz w:val="20"/>
          <w:szCs w:val="20"/>
        </w:rPr>
        <w:t xml:space="preserve">Decision: </w:t>
      </w:r>
      <w:r>
        <w:rPr>
          <w:rFonts w:ascii="Arial" w:cs="Arial" w:eastAsia="Arial" w:hAnsi="Arial"/>
          <w:b w:val="false"/>
          <w:bCs w:val="false"/>
          <w:i/>
          <w:iCs/>
          <w:sz w:val="20"/>
          <w:szCs w:val="20"/>
        </w:rPr>
        <w:t xml:space="preserve">Unconverted Event Attendees saved list on Contact, with adjustable filters (recency, topic, specific Event, emailOptOut with default to exclude opted-out). Matches the CR-MARKETING-CONTACTS segmentation pattern.</w:t>
      </w:r>
    </w:p>
    <w:p>
      <w:pPr>
        <w:pStyle w:val="Heading3"/>
        <w:spacing w:after="120" w:before="240"/>
      </w:pPr>
      <w:r>
        <w:rPr>
          <w:rFonts w:ascii="Arial" w:cs="Arial" w:eastAsia="Arial" w:hAnsi="Arial"/>
          <w:b/>
          <w:bCs/>
          <w:i w:val="false"/>
          <w:iCs w:val="false"/>
          <w:sz w:val="24"/>
          <w:szCs w:val="24"/>
        </w:rPr>
        <w:t xml:space="preserve">Conversion-Push Outreach — Authoring</w:t>
      </w:r>
    </w:p>
    <w:p>
      <w:pPr>
        <w:spacing w:after="40" w:before="120"/>
      </w:pPr>
      <w:r>
        <w:rPr>
          <w:rFonts w:ascii="Arial" w:cs="Arial" w:eastAsia="Arial" w:hAnsi="Arial"/>
          <w:b/>
          <w:bCs/>
          <w:i w:val="false"/>
          <w:iCs w:val="false"/>
          <w:sz w:val="20"/>
          <w:szCs w:val="20"/>
        </w:rPr>
        <w:t xml:space="preserve">Q: </w:t>
      </w:r>
      <w:r>
        <w:rPr>
          <w:rFonts w:ascii="Arial" w:cs="Arial" w:eastAsia="Arial" w:hAnsi="Arial"/>
          <w:b w:val="false"/>
          <w:bCs w:val="false"/>
          <w:i w:val="false"/>
          <w:iCs w:val="false"/>
          <w:sz w:val="20"/>
          <w:szCs w:val="20"/>
        </w:rPr>
        <w:t xml:space="preserve">Are conversion-push messages ad hoc, templated, or templated with override?</w:t>
      </w:r>
    </w:p>
    <w:p>
      <w:pPr>
        <w:spacing w:after="80"/>
      </w:pPr>
      <w:r>
        <w:rPr>
          <w:rFonts w:ascii="Arial" w:cs="Arial" w:eastAsia="Arial" w:hAnsi="Arial"/>
          <w:b/>
          <w:bCs/>
          <w:i w:val="false"/>
          <w:iCs w:val="false"/>
          <w:sz w:val="20"/>
          <w:szCs w:val="20"/>
        </w:rPr>
        <w:t xml:space="preserve">A: </w:t>
      </w:r>
      <w:r>
        <w:rPr>
          <w:rFonts w:ascii="Arial" w:cs="Arial" w:eastAsia="Arial" w:hAnsi="Arial"/>
          <w:b w:val="false"/>
          <w:bCs w:val="false"/>
          <w:i w:val="false"/>
          <w:iCs w:val="false"/>
          <w:sz w:val="20"/>
          <w:szCs w:val="20"/>
        </w:rPr>
        <w:t xml:space="preserve">Templated with override chosen. Pure ad hoc forces retyping boilerplate and produces inconsistent voice; pure templated is too rigid for a judgment-based channel; templated with override preserves personalization while providing a fast starting point.</w:t>
      </w:r>
    </w:p>
    <w:p>
      <w:pPr>
        <w:spacing w:after="200" w:before="40"/>
        <w:ind w:left="360"/>
      </w:pPr>
      <w:r>
        <w:rPr>
          <w:rFonts w:ascii="Arial" w:cs="Arial" w:eastAsia="Arial" w:hAnsi="Arial"/>
          <w:b/>
          <w:bCs/>
          <w:i/>
          <w:iCs/>
          <w:sz w:val="20"/>
          <w:szCs w:val="20"/>
        </w:rPr>
        <w:t xml:space="preserve">Decision: </w:t>
      </w:r>
      <w:r>
        <w:rPr>
          <w:rFonts w:ascii="Arial" w:cs="Arial" w:eastAsia="Arial" w:hAnsi="Arial"/>
          <w:b w:val="false"/>
          <w:bCs w:val="false"/>
          <w:i/>
          <w:iCs/>
          <w:sz w:val="20"/>
          <w:szCs w:val="20"/>
        </w:rPr>
        <w:t xml:space="preserve">Three starter templates: Ready to Apply, Next Event Invitation, General Reconnect. Template pre-fills with variables; Administrator may edit before sending. Administrator can author additional templates over time without code changes. Same template-editing UX as CR-EVENTS-MANAGE transactional templates.</w:t>
      </w:r>
    </w:p>
    <w:p>
      <w:pPr>
        <w:pStyle w:val="Heading3"/>
        <w:spacing w:after="120" w:before="240"/>
      </w:pPr>
      <w:r>
        <w:rPr>
          <w:rFonts w:ascii="Arial" w:cs="Arial" w:eastAsia="Arial" w:hAnsi="Arial"/>
          <w:b/>
          <w:bCs/>
          <w:i w:val="false"/>
          <w:iCs w:val="false"/>
          <w:sz w:val="24"/>
          <w:szCs w:val="24"/>
        </w:rPr>
        <w:t xml:space="preserve">Conversion-Push Outreach — Campaign or Distinct</w:t>
      </w:r>
    </w:p>
    <w:p>
      <w:pPr>
        <w:spacing w:after="40" w:before="120"/>
      </w:pPr>
      <w:r>
        <w:rPr>
          <w:rFonts w:ascii="Arial" w:cs="Arial" w:eastAsia="Arial" w:hAnsi="Arial"/>
          <w:b/>
          <w:bCs/>
          <w:i w:val="false"/>
          <w:iCs w:val="false"/>
          <w:sz w:val="20"/>
          <w:szCs w:val="20"/>
        </w:rPr>
        <w:t xml:space="preserve">Q: </w:t>
      </w:r>
      <w:r>
        <w:rPr>
          <w:rFonts w:ascii="Arial" w:cs="Arial" w:eastAsia="Arial" w:hAnsi="Arial"/>
          <w:b w:val="false"/>
          <w:bCs w:val="false"/>
          <w:i w:val="false"/>
          <w:iCs w:val="false"/>
          <w:sz w:val="20"/>
          <w:szCs w:val="20"/>
        </w:rPr>
        <w:t xml:space="preserve">Do conversion-push sends create Campaign records, no records at all, or records on a new dedicated entity?</w:t>
      </w:r>
    </w:p>
    <w:p>
      <w:pPr>
        <w:spacing w:after="80"/>
      </w:pPr>
      <w:r>
        <w:rPr>
          <w:rFonts w:ascii="Arial" w:cs="Arial" w:eastAsia="Arial" w:hAnsi="Arial"/>
          <w:b/>
          <w:bCs/>
          <w:i w:val="false"/>
          <w:iCs w:val="false"/>
          <w:sz w:val="20"/>
          <w:szCs w:val="20"/>
        </w:rPr>
        <w:t xml:space="preserve">A: </w:t>
      </w:r>
      <w:r>
        <w:rPr>
          <w:rFonts w:ascii="Arial" w:cs="Arial" w:eastAsia="Arial" w:hAnsi="Arial"/>
          <w:b w:val="false"/>
          <w:bCs w:val="false"/>
          <w:i w:val="false"/>
          <w:iCs w:val="false"/>
          <w:sz w:val="20"/>
          <w:szCs w:val="20"/>
        </w:rPr>
        <w:t xml:space="preserve">Three options considered: Campaign records (would violate CR-MARKETING-CAMPAIGNS’ exclusive ownership and require cross-sub-domain scope changes); no records (activity-stream only); new dedicated tracking entity. No records chosen, with one lightweight supporting field on Contact.</w:t>
      </w:r>
    </w:p>
    <w:p>
      <w:pPr>
        <w:spacing w:after="200" w:before="40"/>
        <w:ind w:left="360"/>
      </w:pPr>
      <w:r>
        <w:rPr>
          <w:rFonts w:ascii="Arial" w:cs="Arial" w:eastAsia="Arial" w:hAnsi="Arial"/>
          <w:b/>
          <w:bCs/>
          <w:i/>
          <w:iCs/>
          <w:sz w:val="20"/>
          <w:szCs w:val="20"/>
        </w:rPr>
        <w:t xml:space="preserve">Decision: </w:t>
      </w:r>
      <w:r>
        <w:rPr>
          <w:rFonts w:ascii="Arial" w:cs="Arial" w:eastAsia="Arial" w:hAnsi="Arial"/>
          <w:b w:val="false"/>
          <w:bCs w:val="false"/>
          <w:i/>
          <w:iCs/>
          <w:sz w:val="20"/>
          <w:szCs w:val="20"/>
        </w:rPr>
        <w:t xml:space="preserve">Conversion-push sends create no Campaign records, no Campaign Engagement records, no new entity. A new Contact field lastConversionPushSentAt supports contacted-vs-uncontacted effectiveness comparison. Per-send engagement data (opens, clicks, bounces) is deferred — captured as open issue CR-EVENTS-CONVERT-ISS-001.</w:t>
      </w:r>
    </w:p>
    <w:p>
      <w:pPr>
        <w:pStyle w:val="Heading3"/>
        <w:spacing w:after="120" w:before="240"/>
      </w:pPr>
      <w:r>
        <w:rPr>
          <w:rFonts w:ascii="Arial" w:cs="Arial" w:eastAsia="Arial" w:hAnsi="Arial"/>
          <w:b/>
          <w:bCs/>
          <w:i w:val="false"/>
          <w:iCs w:val="false"/>
          <w:sz w:val="24"/>
          <w:szCs w:val="24"/>
        </w:rPr>
        <w:t xml:space="preserve">Conversion Detection Mechanism</w:t>
      </w:r>
    </w:p>
    <w:p>
      <w:pPr>
        <w:spacing w:after="40" w:before="120"/>
      </w:pPr>
      <w:r>
        <w:rPr>
          <w:rFonts w:ascii="Arial" w:cs="Arial" w:eastAsia="Arial" w:hAnsi="Arial"/>
          <w:b/>
          <w:bCs/>
          <w:i w:val="false"/>
          <w:iCs w:val="false"/>
          <w:sz w:val="20"/>
          <w:szCs w:val="20"/>
        </w:rPr>
        <w:t xml:space="preserve">Q: </w:t>
      </w:r>
      <w:r>
        <w:rPr>
          <w:rFonts w:ascii="Arial" w:cs="Arial" w:eastAsia="Arial" w:hAnsi="Arial"/>
          <w:b w:val="false"/>
          <w:bCs w:val="false"/>
          <w:i w:val="false"/>
          <w:iCs w:val="false"/>
          <w:sz w:val="20"/>
          <w:szCs w:val="20"/>
        </w:rPr>
        <w:t xml:space="preserve">Is conversion detected computed-on-read, stored as a boolean maintained by workflow, or materialized by a scheduled job?</w:t>
      </w:r>
    </w:p>
    <w:p>
      <w:pPr>
        <w:spacing w:after="80"/>
      </w:pPr>
      <w:r>
        <w:rPr>
          <w:rFonts w:ascii="Arial" w:cs="Arial" w:eastAsia="Arial" w:hAnsi="Arial"/>
          <w:b/>
          <w:bCs/>
          <w:i w:val="false"/>
          <w:iCs w:val="false"/>
          <w:sz w:val="20"/>
          <w:szCs w:val="20"/>
        </w:rPr>
        <w:t xml:space="preserve">A: </w:t>
      </w:r>
      <w:r>
        <w:rPr>
          <w:rFonts w:ascii="Arial" w:cs="Arial" w:eastAsia="Arial" w:hAnsi="Arial"/>
          <w:b w:val="false"/>
          <w:bCs w:val="false"/>
          <w:i w:val="false"/>
          <w:iCs w:val="false"/>
          <w:sz w:val="20"/>
          <w:szCs w:val="20"/>
        </w:rPr>
        <w:t xml:space="preserve">Options considered: computed-on-read, stored boolean with workflow triggers, scheduled materialization. Computed-on-read chosen.</w:t>
      </w:r>
    </w:p>
    <w:p>
      <w:pPr>
        <w:spacing w:after="200" w:before="40"/>
        <w:ind w:left="360"/>
      </w:pPr>
      <w:r>
        <w:rPr>
          <w:rFonts w:ascii="Arial" w:cs="Arial" w:eastAsia="Arial" w:hAnsi="Arial"/>
          <w:b/>
          <w:bCs/>
          <w:i/>
          <w:iCs/>
          <w:sz w:val="20"/>
          <w:szCs w:val="20"/>
        </w:rPr>
        <w:t xml:space="preserve">Decision: </w:t>
      </w:r>
      <w:r>
        <w:rPr>
          <w:rFonts w:ascii="Arial" w:cs="Arial" w:eastAsia="Arial" w:hAnsi="Arial"/>
          <w:b w:val="false"/>
          <w:bCs w:val="false"/>
          <w:i/>
          <w:iCs/>
          <w:sz w:val="20"/>
          <w:szCs w:val="20"/>
        </w:rPr>
        <w:t xml:space="preserve">Computed on read. No stored conversion field. Consistent with the reactivation handoff and cross-sub-domain reporting decisions that follow. Avoids the class of trigger-maintenance bugs stored fields invite (late attendance corrections, retroactive Account links, MN-INTAKE’s email-match-update behavior).</w:t>
      </w:r>
    </w:p>
    <w:p>
      <w:pPr>
        <w:spacing w:after="40" w:before="120"/>
      </w:pPr>
      <w:r>
        <w:rPr>
          <w:rFonts w:ascii="Arial" w:cs="Arial" w:eastAsia="Arial" w:hAnsi="Arial"/>
          <w:b/>
          <w:bCs/>
          <w:i w:val="false"/>
          <w:iCs w:val="false"/>
          <w:sz w:val="20"/>
          <w:szCs w:val="20"/>
        </w:rPr>
        <w:t xml:space="preserve">Q: </w:t>
      </w:r>
      <w:r>
        <w:rPr>
          <w:rFonts w:ascii="Arial" w:cs="Arial" w:eastAsia="Arial" w:hAnsi="Arial"/>
          <w:b w:val="false"/>
          <w:bCs w:val="false"/>
          <w:i w:val="false"/>
          <w:iCs w:val="false"/>
          <w:sz w:val="20"/>
          <w:szCs w:val="20"/>
        </w:rPr>
        <w:t xml:space="preserve">Is conversion status visible on the Contact detail view, or only in reports?</w:t>
      </w:r>
    </w:p>
    <w:p>
      <w:pPr>
        <w:spacing w:after="80"/>
      </w:pPr>
      <w:r>
        <w:rPr>
          <w:rFonts w:ascii="Arial" w:cs="Arial" w:eastAsia="Arial" w:hAnsi="Arial"/>
          <w:b/>
          <w:bCs/>
          <w:i w:val="false"/>
          <w:iCs w:val="false"/>
          <w:sz w:val="20"/>
          <w:szCs w:val="20"/>
        </w:rPr>
        <w:t xml:space="preserve">A: </w:t>
      </w:r>
      <w:r>
        <w:rPr>
          <w:rFonts w:ascii="Arial" w:cs="Arial" w:eastAsia="Arial" w:hAnsi="Arial"/>
          <w:b w:val="false"/>
          <w:bCs w:val="false"/>
          <w:i w:val="false"/>
          <w:iCs w:val="false"/>
          <w:sz w:val="20"/>
          <w:szCs w:val="20"/>
        </w:rPr>
        <w:t xml:space="preserve">Visible on the Contact detail view as a read-only computed indicator. Three states: Converted (with date), Not Converted, Not An Event Attendee. Without this, the Administrator running conversion-push outreach has no in-record signal.</w:t>
      </w:r>
    </w:p>
    <w:p>
      <w:pPr>
        <w:spacing w:after="200" w:before="40"/>
        <w:ind w:left="360"/>
      </w:pPr>
      <w:r>
        <w:rPr>
          <w:rFonts w:ascii="Arial" w:cs="Arial" w:eastAsia="Arial" w:hAnsi="Arial"/>
          <w:b/>
          <w:bCs/>
          <w:i/>
          <w:iCs/>
          <w:sz w:val="20"/>
          <w:szCs w:val="20"/>
        </w:rPr>
        <w:t xml:space="preserve">Decision: </w:t>
      </w:r>
      <w:r>
        <w:rPr>
          <w:rFonts w:ascii="Arial" w:cs="Arial" w:eastAsia="Arial" w:hAnsi="Arial"/>
          <w:b w:val="false"/>
          <w:bCs w:val="false"/>
          <w:i/>
          <w:iCs/>
          <w:sz w:val="20"/>
          <w:szCs w:val="20"/>
        </w:rPr>
        <w:t xml:space="preserve">Conversion indicator computed at view time from the same logic as reports. Not a stored field.</w:t>
      </w:r>
    </w:p>
    <w:p>
      <w:pPr>
        <w:spacing w:after="40" w:before="120"/>
      </w:pPr>
      <w:r>
        <w:rPr>
          <w:rFonts w:ascii="Arial" w:cs="Arial" w:eastAsia="Arial" w:hAnsi="Arial"/>
          <w:b/>
          <w:bCs/>
          <w:i w:val="false"/>
          <w:iCs w:val="false"/>
          <w:sz w:val="20"/>
          <w:szCs w:val="20"/>
        </w:rPr>
        <w:t xml:space="preserve">Q: </w:t>
      </w:r>
      <w:r>
        <w:rPr>
          <w:rFonts w:ascii="Arial" w:cs="Arial" w:eastAsia="Arial" w:hAnsi="Arial"/>
          <w:b w:val="false"/>
          <w:bCs w:val="false"/>
          <w:i w:val="false"/>
          <w:iCs w:val="false"/>
          <w:sz w:val="20"/>
          <w:szCs w:val="20"/>
        </w:rPr>
        <w:t xml:space="preserve">What date does the Converted state display?</w:t>
      </w:r>
    </w:p>
    <w:p>
      <w:pPr>
        <w:spacing w:after="80"/>
      </w:pPr>
      <w:r>
        <w:rPr>
          <w:rFonts w:ascii="Arial" w:cs="Arial" w:eastAsia="Arial" w:hAnsi="Arial"/>
          <w:b/>
          <w:bCs/>
          <w:i w:val="false"/>
          <w:iCs w:val="false"/>
          <w:sz w:val="20"/>
          <w:szCs w:val="20"/>
        </w:rPr>
        <w:t xml:space="preserve">A: </w:t>
      </w:r>
      <w:r>
        <w:rPr>
          <w:rFonts w:ascii="Arial" w:cs="Arial" w:eastAsia="Arial" w:hAnsi="Arial"/>
          <w:b w:val="false"/>
          <w:bCs w:val="false"/>
          <w:i w:val="false"/>
          <w:iCs w:val="false"/>
          <w:sz w:val="20"/>
          <w:szCs w:val="20"/>
        </w:rPr>
        <w:t xml:space="preserve">Options considered: the Account’s clientStatus-to-Applicant transition date (the conversion moment), or the Event Registration’s attendance date. The transition date is the direct answer to ‘when did this person convert?’. The Event.dateEnd is the separate anchor for the window calculation.</w:t>
      </w:r>
    </w:p>
    <w:p>
      <w:pPr>
        <w:spacing w:after="200" w:before="40"/>
        <w:ind w:left="360"/>
      </w:pPr>
      <w:r>
        <w:rPr>
          <w:rFonts w:ascii="Arial" w:cs="Arial" w:eastAsia="Arial" w:hAnsi="Arial"/>
          <w:b/>
          <w:bCs/>
          <w:i/>
          <w:iCs/>
          <w:sz w:val="20"/>
          <w:szCs w:val="20"/>
        </w:rPr>
        <w:t xml:space="preserve">Decision: </w:t>
      </w:r>
      <w:r>
        <w:rPr>
          <w:rFonts w:ascii="Arial" w:cs="Arial" w:eastAsia="Arial" w:hAnsi="Arial"/>
          <w:b w:val="false"/>
          <w:bCs w:val="false"/>
          <w:i/>
          <w:iCs/>
          <w:sz w:val="20"/>
          <w:szCs w:val="20"/>
        </w:rPr>
        <w:t xml:space="preserve">Conversion date is the Account’s clientStatus-to-Applicant transition date. This requires that transition to be dated. Existing Account.modifiedAt is an imprecise proxy; a new field applicantSince is added. MN-INTAKE workflow must populate it at the same moment REQ-011 sets clientStatus to Applicant. Triggers Section 10 updates to the Account Entity PRD and MN-INTAKE.</w:t>
      </w:r>
    </w:p>
    <w:p>
      <w:pPr>
        <w:pStyle w:val="Heading3"/>
        <w:spacing w:after="120" w:before="240"/>
      </w:pPr>
      <w:r>
        <w:rPr>
          <w:rFonts w:ascii="Arial" w:cs="Arial" w:eastAsia="Arial" w:hAnsi="Arial"/>
          <w:b/>
          <w:bCs/>
          <w:i w:val="false"/>
          <w:iCs w:val="false"/>
          <w:sz w:val="24"/>
          <w:szCs w:val="24"/>
        </w:rPr>
        <w:t xml:space="preserve">Conversion Window Mechanics</w:t>
      </w:r>
    </w:p>
    <w:p>
      <w:pPr>
        <w:spacing w:after="40" w:before="120"/>
      </w:pPr>
      <w:r>
        <w:rPr>
          <w:rFonts w:ascii="Arial" w:cs="Arial" w:eastAsia="Arial" w:hAnsi="Arial"/>
          <w:b/>
          <w:bCs/>
          <w:i w:val="false"/>
          <w:iCs w:val="false"/>
          <w:sz w:val="20"/>
          <w:szCs w:val="20"/>
        </w:rPr>
        <w:t xml:space="preserve">Q: </w:t>
      </w:r>
      <w:r>
        <w:rPr>
          <w:rFonts w:ascii="Arial" w:cs="Arial" w:eastAsia="Arial" w:hAnsi="Arial"/>
          <w:b w:val="false"/>
          <w:bCs w:val="false"/>
          <w:i w:val="false"/>
          <w:iCs w:val="false"/>
          <w:sz w:val="20"/>
          <w:szCs w:val="20"/>
        </w:rPr>
        <w:t xml:space="preserve">On the event side, what is the window’s anchor date: Event.dateEnd, Event Registration.registrationDate, or the date attendance was recorded?</w:t>
      </w:r>
    </w:p>
    <w:p>
      <w:pPr>
        <w:spacing w:after="80"/>
      </w:pPr>
      <w:r>
        <w:rPr>
          <w:rFonts w:ascii="Arial" w:cs="Arial" w:eastAsia="Arial" w:hAnsi="Arial"/>
          <w:b/>
          <w:bCs/>
          <w:i w:val="false"/>
          <w:iCs w:val="false"/>
          <w:sz w:val="20"/>
          <w:szCs w:val="20"/>
        </w:rPr>
        <w:t xml:space="preserve">A: </w:t>
      </w:r>
      <w:r>
        <w:rPr>
          <w:rFonts w:ascii="Arial" w:cs="Arial" w:eastAsia="Arial" w:hAnsi="Arial"/>
          <w:b w:val="false"/>
          <w:bCs w:val="false"/>
          <w:i w:val="false"/>
          <w:iCs w:val="false"/>
          <w:sz w:val="20"/>
          <w:szCs w:val="20"/>
        </w:rPr>
        <w:t xml:space="preserve">Event.dateEnd. Registration date is the prelude; attendance-recording date is a staff-workflow artifact. The conversion question is ‘did attending this event lead to an application within the window?’, and Event.dateEnd is the cleanest anchor.</w:t>
      </w:r>
    </w:p>
    <w:p>
      <w:pPr>
        <w:spacing w:after="200" w:before="40"/>
        <w:ind w:left="360"/>
      </w:pPr>
      <w:r>
        <w:rPr>
          <w:rFonts w:ascii="Arial" w:cs="Arial" w:eastAsia="Arial" w:hAnsi="Arial"/>
          <w:b/>
          <w:bCs/>
          <w:i/>
          <w:iCs/>
          <w:sz w:val="20"/>
          <w:szCs w:val="20"/>
        </w:rPr>
        <w:t xml:space="preserve">Decision: </w:t>
      </w:r>
      <w:r>
        <w:rPr>
          <w:rFonts w:ascii="Arial" w:cs="Arial" w:eastAsia="Arial" w:hAnsi="Arial"/>
          <w:b w:val="false"/>
          <w:bCs w:val="false"/>
          <w:i/>
          <w:iCs/>
          <w:sz w:val="20"/>
          <w:szCs w:val="20"/>
        </w:rPr>
        <w:t xml:space="preserve">Event.dateEnd on the event side. Account.applicantSince on the application side.</w:t>
      </w:r>
    </w:p>
    <w:p>
      <w:pPr>
        <w:spacing w:after="40" w:before="120"/>
      </w:pPr>
      <w:r>
        <w:rPr>
          <w:rFonts w:ascii="Arial" w:cs="Arial" w:eastAsia="Arial" w:hAnsi="Arial"/>
          <w:b/>
          <w:bCs/>
          <w:i w:val="false"/>
          <w:iCs w:val="false"/>
          <w:sz w:val="20"/>
          <w:szCs w:val="20"/>
        </w:rPr>
        <w:t xml:space="preserve">Q: </w:t>
      </w:r>
      <w:r>
        <w:rPr>
          <w:rFonts w:ascii="Arial" w:cs="Arial" w:eastAsia="Arial" w:hAnsi="Arial"/>
          <w:b w:val="false"/>
          <w:bCs w:val="false"/>
          <w:i w:val="false"/>
          <w:iCs w:val="false"/>
          <w:sz w:val="20"/>
          <w:szCs w:val="20"/>
        </w:rPr>
        <w:t xml:space="preserve">Is the 180-day default hardcoded or a system-wide configurable default?</w:t>
      </w:r>
    </w:p>
    <w:p>
      <w:pPr>
        <w:spacing w:after="80"/>
      </w:pPr>
      <w:r>
        <w:rPr>
          <w:rFonts w:ascii="Arial" w:cs="Arial" w:eastAsia="Arial" w:hAnsi="Arial"/>
          <w:b/>
          <w:bCs/>
          <w:i w:val="false"/>
          <w:iCs w:val="false"/>
          <w:sz w:val="20"/>
          <w:szCs w:val="20"/>
        </w:rPr>
        <w:t xml:space="preserve">A: </w:t>
      </w:r>
      <w:r>
        <w:rPr>
          <w:rFonts w:ascii="Arial" w:cs="Arial" w:eastAsia="Arial" w:hAnsi="Arial"/>
          <w:b w:val="false"/>
          <w:bCs w:val="false"/>
          <w:i w:val="false"/>
          <w:iCs w:val="false"/>
          <w:sz w:val="20"/>
          <w:szCs w:val="20"/>
        </w:rPr>
        <w:t xml:space="preserve">Hardcoded. System-wide configurability is overhead for a value unlikely to change frequently that the Administrator can already override per report run.</w:t>
      </w:r>
    </w:p>
    <w:p>
      <w:pPr>
        <w:spacing w:after="200" w:before="40"/>
        <w:ind w:left="360"/>
      </w:pPr>
      <w:r>
        <w:rPr>
          <w:rFonts w:ascii="Arial" w:cs="Arial" w:eastAsia="Arial" w:hAnsi="Arial"/>
          <w:b/>
          <w:bCs/>
          <w:i/>
          <w:iCs/>
          <w:sz w:val="20"/>
          <w:szCs w:val="20"/>
        </w:rPr>
        <w:t xml:space="preserve">Decision: </w:t>
      </w:r>
      <w:r>
        <w:rPr>
          <w:rFonts w:ascii="Arial" w:cs="Arial" w:eastAsia="Arial" w:hAnsi="Arial"/>
          <w:b w:val="false"/>
          <w:bCs w:val="false"/>
          <w:i/>
          <w:iCs/>
          <w:sz w:val="20"/>
          <w:szCs w:val="20"/>
        </w:rPr>
        <w:t xml:space="preserve">Hardcoded 180-day default. Per-report override at run time.</w:t>
      </w:r>
    </w:p>
    <w:p>
      <w:pPr>
        <w:spacing w:after="40" w:before="120"/>
      </w:pPr>
      <w:r>
        <w:rPr>
          <w:rFonts w:ascii="Arial" w:cs="Arial" w:eastAsia="Arial" w:hAnsi="Arial"/>
          <w:b/>
          <w:bCs/>
          <w:i w:val="false"/>
          <w:iCs w:val="false"/>
          <w:sz w:val="20"/>
          <w:szCs w:val="20"/>
        </w:rPr>
        <w:t xml:space="preserve">Q: </w:t>
      </w:r>
      <w:r>
        <w:rPr>
          <w:rFonts w:ascii="Arial" w:cs="Arial" w:eastAsia="Arial" w:hAnsi="Arial"/>
          <w:b w:val="false"/>
          <w:bCs w:val="false"/>
          <w:i w:val="false"/>
          <w:iCs w:val="false"/>
          <w:sz w:val="20"/>
          <w:szCs w:val="20"/>
        </w:rPr>
        <w:t xml:space="preserve">What is the default time range on conversion reports?</w:t>
      </w:r>
    </w:p>
    <w:p>
      <w:pPr>
        <w:spacing w:after="80"/>
      </w:pPr>
      <w:r>
        <w:rPr>
          <w:rFonts w:ascii="Arial" w:cs="Arial" w:eastAsia="Arial" w:hAnsi="Arial"/>
          <w:b/>
          <w:bCs/>
          <w:i w:val="false"/>
          <w:iCs w:val="false"/>
          <w:sz w:val="20"/>
          <w:szCs w:val="20"/>
        </w:rPr>
        <w:t xml:space="preserve">A: </w:t>
      </w:r>
      <w:r>
        <w:rPr>
          <w:rFonts w:ascii="Arial" w:cs="Arial" w:eastAsia="Arial" w:hAnsi="Arial"/>
          <w:b w:val="false"/>
          <w:bCs w:val="false"/>
          <w:i w:val="false"/>
          <w:iCs w:val="false"/>
          <w:sz w:val="20"/>
          <w:szCs w:val="20"/>
        </w:rPr>
        <w:t xml:space="preserve">Trailing 12 months of Completed events. Standard reporting convention, captures seasonal patterns, stays responsive, renders meaningfully given the 180-day window.</w:t>
      </w:r>
    </w:p>
    <w:p>
      <w:pPr>
        <w:spacing w:after="200" w:before="40"/>
        <w:ind w:left="360"/>
      </w:pPr>
      <w:r>
        <w:rPr>
          <w:rFonts w:ascii="Arial" w:cs="Arial" w:eastAsia="Arial" w:hAnsi="Arial"/>
          <w:b/>
          <w:bCs/>
          <w:i/>
          <w:iCs/>
          <w:sz w:val="20"/>
          <w:szCs w:val="20"/>
        </w:rPr>
        <w:t xml:space="preserve">Decision: </w:t>
      </w:r>
      <w:r>
        <w:rPr>
          <w:rFonts w:ascii="Arial" w:cs="Arial" w:eastAsia="Arial" w:hAnsi="Arial"/>
          <w:b w:val="false"/>
          <w:bCs w:val="false"/>
          <w:i/>
          <w:iCs/>
          <w:sz w:val="20"/>
          <w:szCs w:val="20"/>
        </w:rPr>
        <w:t xml:space="preserve">Trailing 12 months default. Per-report override at run time.</w:t>
      </w:r>
    </w:p>
    <w:p>
      <w:pPr>
        <w:pStyle w:val="Heading3"/>
        <w:spacing w:after="120" w:before="240"/>
      </w:pPr>
      <w:r>
        <w:rPr>
          <w:rFonts w:ascii="Arial" w:cs="Arial" w:eastAsia="Arial" w:hAnsi="Arial"/>
          <w:b/>
          <w:bCs/>
          <w:i w:val="false"/>
          <w:iCs w:val="false"/>
          <w:sz w:val="24"/>
          <w:szCs w:val="24"/>
        </w:rPr>
        <w:t xml:space="preserve">Reactivation Handoff Mechanism</w:t>
      </w:r>
    </w:p>
    <w:p>
      <w:pPr>
        <w:spacing w:after="40" w:before="120"/>
      </w:pPr>
      <w:r>
        <w:rPr>
          <w:rFonts w:ascii="Arial" w:cs="Arial" w:eastAsia="Arial" w:hAnsi="Arial"/>
          <w:b/>
          <w:bCs/>
          <w:i w:val="false"/>
          <w:iCs w:val="false"/>
          <w:sz w:val="20"/>
          <w:szCs w:val="20"/>
        </w:rPr>
        <w:t xml:space="preserve">Q: </w:t>
      </w:r>
      <w:r>
        <w:rPr>
          <w:rFonts w:ascii="Arial" w:cs="Arial" w:eastAsia="Arial" w:hAnsi="Arial"/>
          <w:b w:val="false"/>
          <w:bCs w:val="false"/>
          <w:i w:val="false"/>
          <w:iCs w:val="false"/>
          <w:sz w:val="20"/>
          <w:szCs w:val="20"/>
        </w:rPr>
        <w:t xml:space="preserve">How is an unconverted attendee handed off to the Reactivation sub-domain: saved list, flag on Contact, or scheduled job populating a Segment?</w:t>
      </w:r>
    </w:p>
    <w:p>
      <w:pPr>
        <w:spacing w:after="80"/>
      </w:pPr>
      <w:r>
        <w:rPr>
          <w:rFonts w:ascii="Arial" w:cs="Arial" w:eastAsia="Arial" w:hAnsi="Arial"/>
          <w:b/>
          <w:bCs/>
          <w:i w:val="false"/>
          <w:iCs w:val="false"/>
          <w:sz w:val="20"/>
          <w:szCs w:val="20"/>
        </w:rPr>
        <w:t xml:space="preserve">A: </w:t>
      </w:r>
      <w:r>
        <w:rPr>
          <w:rFonts w:ascii="Arial" w:cs="Arial" w:eastAsia="Arial" w:hAnsi="Arial"/>
          <w:b w:val="false"/>
          <w:bCs w:val="false"/>
          <w:i w:val="false"/>
          <w:iCs w:val="false"/>
          <w:sz w:val="20"/>
          <w:szCs w:val="20"/>
        </w:rPr>
        <w:t xml:space="preserve">Saved list computed on read, owned by CR-EVENTS-CONVERT, consumed by CR-REACTIVATE. Consistent with the computed-on-read conversion detection. Avoids a maintained field on Contact; avoids committing CR-REACTIVATE to Segment as the input mechanism before CR-REACTIVATE has been designed.</w:t>
      </w:r>
    </w:p>
    <w:p>
      <w:pPr>
        <w:spacing w:after="200" w:before="40"/>
        <w:ind w:left="360"/>
      </w:pPr>
      <w:r>
        <w:rPr>
          <w:rFonts w:ascii="Arial" w:cs="Arial" w:eastAsia="Arial" w:hAnsi="Arial"/>
          <w:b/>
          <w:bCs/>
          <w:i/>
          <w:iCs/>
          <w:sz w:val="20"/>
          <w:szCs w:val="20"/>
        </w:rPr>
        <w:t xml:space="preserve">Decision: </w:t>
      </w:r>
      <w:r>
        <w:rPr>
          <w:rFonts w:ascii="Arial" w:cs="Arial" w:eastAsia="Arial" w:hAnsi="Arial"/>
          <w:b w:val="false"/>
          <w:bCs w:val="false"/>
          <w:i/>
          <w:iCs/>
          <w:sz w:val="20"/>
          <w:szCs w:val="20"/>
        </w:rPr>
        <w:t xml:space="preserve">Saved list Reactivation Candidates — Event Attendees, computed on read. No Contact flag, no Segment, no scheduled job. Threshold criteria: attended event, no applicant-stage Account, most recent Attended Event.dateEnd at least 180 days ago (matches conversion window default; configurable).</w:t>
      </w:r>
    </w:p>
    <w:p>
      <w:pPr>
        <w:spacing w:after="40" w:before="120"/>
      </w:pPr>
      <w:r>
        <w:rPr>
          <w:rFonts w:ascii="Arial" w:cs="Arial" w:eastAsia="Arial" w:hAnsi="Arial"/>
          <w:b/>
          <w:bCs/>
          <w:i w:val="false"/>
          <w:iCs w:val="false"/>
          <w:sz w:val="20"/>
          <w:szCs w:val="20"/>
        </w:rPr>
        <w:t xml:space="preserve">Q: </w:t>
      </w:r>
      <w:r>
        <w:rPr>
          <w:rFonts w:ascii="Arial" w:cs="Arial" w:eastAsia="Arial" w:hAnsi="Arial"/>
          <w:b w:val="false"/>
          <w:bCs w:val="false"/>
          <w:i w:val="false"/>
          <w:iCs w:val="false"/>
          <w:sz w:val="20"/>
          <w:szCs w:val="20"/>
        </w:rPr>
        <w:t xml:space="preserve">What happens if a handed-off Contact attends another event later?</w:t>
      </w:r>
    </w:p>
    <w:p>
      <w:pPr>
        <w:spacing w:after="80"/>
      </w:pPr>
      <w:r>
        <w:rPr>
          <w:rFonts w:ascii="Arial" w:cs="Arial" w:eastAsia="Arial" w:hAnsi="Arial"/>
          <w:b/>
          <w:bCs/>
          <w:i w:val="false"/>
          <w:iCs w:val="false"/>
          <w:sz w:val="20"/>
          <w:szCs w:val="20"/>
        </w:rPr>
        <w:t xml:space="preserve">A: </w:t>
      </w:r>
      <w:r>
        <w:rPr>
          <w:rFonts w:ascii="Arial" w:cs="Arial" w:eastAsia="Arial" w:hAnsi="Arial"/>
          <w:b w:val="false"/>
          <w:bCs w:val="false"/>
          <w:i w:val="false"/>
          <w:iCs w:val="false"/>
          <w:sz w:val="20"/>
          <w:szCs w:val="20"/>
        </w:rPr>
        <w:t xml:space="preserve">They cycle naturally. The list re-evaluates against current state; a re-attending Contact re-enters the conversion window and drops off the list, then re-qualifies after that window expires if still unconverted. No persistent ‘previously handed off’ marker.</w:t>
      </w:r>
    </w:p>
    <w:p>
      <w:pPr>
        <w:spacing w:after="200" w:before="40"/>
        <w:ind w:left="360"/>
      </w:pPr>
      <w:r>
        <w:rPr>
          <w:rFonts w:ascii="Arial" w:cs="Arial" w:eastAsia="Arial" w:hAnsi="Arial"/>
          <w:b/>
          <w:bCs/>
          <w:i/>
          <w:iCs/>
          <w:sz w:val="20"/>
          <w:szCs w:val="20"/>
        </w:rPr>
        <w:t xml:space="preserve">Decision: </w:t>
      </w:r>
      <w:r>
        <w:rPr>
          <w:rFonts w:ascii="Arial" w:cs="Arial" w:eastAsia="Arial" w:hAnsi="Arial"/>
          <w:b w:val="false"/>
          <w:bCs w:val="false"/>
          <w:i/>
          <w:iCs/>
          <w:sz w:val="20"/>
          <w:szCs w:val="20"/>
        </w:rPr>
        <w:t xml:space="preserve">No persistent handoff marker. List membership is purely a function of current data state.</w:t>
      </w:r>
    </w:p>
    <w:p>
      <w:pPr>
        <w:spacing w:after="40" w:before="120"/>
      </w:pPr>
      <w:r>
        <w:rPr>
          <w:rFonts w:ascii="Arial" w:cs="Arial" w:eastAsia="Arial" w:hAnsi="Arial"/>
          <w:b/>
          <w:bCs/>
          <w:i w:val="false"/>
          <w:iCs w:val="false"/>
          <w:sz w:val="20"/>
          <w:szCs w:val="20"/>
        </w:rPr>
        <w:t xml:space="preserve">Q: </w:t>
      </w:r>
      <w:r>
        <w:rPr>
          <w:rFonts w:ascii="Arial" w:cs="Arial" w:eastAsia="Arial" w:hAnsi="Arial"/>
          <w:b w:val="false"/>
          <w:bCs w:val="false"/>
          <w:i w:val="false"/>
          <w:iCs w:val="false"/>
          <w:sz w:val="20"/>
          <w:szCs w:val="20"/>
        </w:rPr>
        <w:t xml:space="preserve">Is there a manual handoff action the Content and Event Administrator takes to release a Contact to the list?</w:t>
      </w:r>
    </w:p>
    <w:p>
      <w:pPr>
        <w:spacing w:after="80"/>
      </w:pPr>
      <w:r>
        <w:rPr>
          <w:rFonts w:ascii="Arial" w:cs="Arial" w:eastAsia="Arial" w:hAnsi="Arial"/>
          <w:b/>
          <w:bCs/>
          <w:i w:val="false"/>
          <w:iCs w:val="false"/>
          <w:sz w:val="20"/>
          <w:szCs w:val="20"/>
        </w:rPr>
        <w:t xml:space="preserve">A: </w:t>
      </w:r>
      <w:r>
        <w:rPr>
          <w:rFonts w:ascii="Arial" w:cs="Arial" w:eastAsia="Arial" w:hAnsi="Arial"/>
          <w:b w:val="false"/>
          <w:bCs w:val="false"/>
          <w:i w:val="false"/>
          <w:iCs w:val="false"/>
          <w:sz w:val="20"/>
          <w:szCs w:val="20"/>
        </w:rPr>
        <w:t xml:space="preserve">No. The list is a query result. No approval, no release, no record-level action. The Client Recruiter consumes the list during Reactivation work cycles.</w:t>
      </w:r>
    </w:p>
    <w:p>
      <w:pPr>
        <w:spacing w:after="200" w:before="40"/>
        <w:ind w:left="360"/>
      </w:pPr>
      <w:r>
        <w:rPr>
          <w:rFonts w:ascii="Arial" w:cs="Arial" w:eastAsia="Arial" w:hAnsi="Arial"/>
          <w:b/>
          <w:bCs/>
          <w:i/>
          <w:iCs/>
          <w:sz w:val="20"/>
          <w:szCs w:val="20"/>
        </w:rPr>
        <w:t xml:space="preserve">Decision: </w:t>
      </w:r>
      <w:r>
        <w:rPr>
          <w:rFonts w:ascii="Arial" w:cs="Arial" w:eastAsia="Arial" w:hAnsi="Arial"/>
          <w:b w:val="false"/>
          <w:bCs w:val="false"/>
          <w:i/>
          <w:iCs/>
          <w:sz w:val="20"/>
          <w:szCs w:val="20"/>
        </w:rPr>
        <w:t xml:space="preserve">No manual handoff action. Persona boundary remains as defined in the Sub-Domain Overview — Content and Event Administrator owns through the list; Client Recruiter owns from there in CR-REACTIVATE-OUTREACH.</w:t>
      </w:r>
    </w:p>
    <w:p>
      <w:pPr>
        <w:pStyle w:val="Heading3"/>
        <w:spacing w:after="120" w:before="240"/>
      </w:pPr>
      <w:r>
        <w:rPr>
          <w:rFonts w:ascii="Arial" w:cs="Arial" w:eastAsia="Arial" w:hAnsi="Arial"/>
          <w:b/>
          <w:bCs/>
          <w:i w:val="false"/>
          <w:iCs w:val="false"/>
          <w:sz w:val="24"/>
          <w:szCs w:val="24"/>
        </w:rPr>
        <w:t xml:space="preserve">Effectiveness Report Definitions</w:t>
      </w:r>
    </w:p>
    <w:p>
      <w:pPr>
        <w:spacing w:after="40" w:before="120"/>
      </w:pPr>
      <w:r>
        <w:rPr>
          <w:rFonts w:ascii="Arial" w:cs="Arial" w:eastAsia="Arial" w:hAnsi="Arial"/>
          <w:b/>
          <w:bCs/>
          <w:i w:val="false"/>
          <w:iCs w:val="false"/>
          <w:sz w:val="20"/>
          <w:szCs w:val="20"/>
        </w:rPr>
        <w:t xml:space="preserve">Q: </w:t>
      </w:r>
      <w:r>
        <w:rPr>
          <w:rFonts w:ascii="Arial" w:cs="Arial" w:eastAsia="Arial" w:hAnsi="Arial"/>
          <w:b w:val="false"/>
          <w:bCs w:val="false"/>
          <w:i w:val="false"/>
          <w:iCs w:val="false"/>
          <w:sz w:val="20"/>
          <w:szCs w:val="20"/>
        </w:rPr>
        <w:t xml:space="preserve">What metrics does each effectiveness report expose?</w:t>
      </w:r>
    </w:p>
    <w:p>
      <w:pPr>
        <w:spacing w:after="80"/>
      </w:pPr>
      <w:r>
        <w:rPr>
          <w:rFonts w:ascii="Arial" w:cs="Arial" w:eastAsia="Arial" w:hAnsi="Arial"/>
          <w:b/>
          <w:bCs/>
          <w:i w:val="false"/>
          <w:iCs w:val="false"/>
          <w:sz w:val="20"/>
          <w:szCs w:val="20"/>
        </w:rPr>
        <w:t xml:space="preserve">A: </w:t>
      </w:r>
      <w:r>
        <w:rPr>
          <w:rFonts w:ascii="Arial" w:cs="Arial" w:eastAsia="Arial" w:hAnsi="Arial"/>
          <w:b w:val="false"/>
          <w:bCs w:val="false"/>
          <w:i w:val="false"/>
          <w:iCs w:val="false"/>
          <w:sz w:val="20"/>
          <w:szCs w:val="20"/>
        </w:rPr>
        <w:t xml:space="preserve">Six metrics per report, uniform across dimensions: Registrations, Attendance, No-Show Rate, Conversion Count, Conversion Rate, Median Days from Event to Application. No-Show Rate definition matches CR-EVENTS-MANAGE-REQ-050.</w:t>
      </w:r>
    </w:p>
    <w:p>
      <w:pPr>
        <w:spacing w:after="200" w:before="40"/>
        <w:ind w:left="360"/>
      </w:pPr>
      <w:r>
        <w:rPr>
          <w:rFonts w:ascii="Arial" w:cs="Arial" w:eastAsia="Arial" w:hAnsi="Arial"/>
          <w:b/>
          <w:bCs/>
          <w:i/>
          <w:iCs/>
          <w:sz w:val="20"/>
          <w:szCs w:val="20"/>
        </w:rPr>
        <w:t xml:space="preserve">Decision: </w:t>
      </w:r>
      <w:r>
        <w:rPr>
          <w:rFonts w:ascii="Arial" w:cs="Arial" w:eastAsia="Arial" w:hAnsi="Arial"/>
          <w:b w:val="false"/>
          <w:bCs w:val="false"/>
          <w:i/>
          <w:iCs/>
          <w:sz w:val="20"/>
          <w:szCs w:val="20"/>
        </w:rPr>
        <w:t xml:space="preserve">Five reports (Per-Event, Topic, Format, Partner Co-Sponsorship, Geography), six metrics each. Partner report has two groupings (binary co-sponsored-vs-not and per-partner).</w:t>
      </w:r>
    </w:p>
    <w:p>
      <w:pPr>
        <w:spacing w:after="40" w:before="120"/>
      </w:pPr>
      <w:r>
        <w:rPr>
          <w:rFonts w:ascii="Arial" w:cs="Arial" w:eastAsia="Arial" w:hAnsi="Arial"/>
          <w:b/>
          <w:bCs/>
          <w:i w:val="false"/>
          <w:iCs w:val="false"/>
          <w:sz w:val="20"/>
          <w:szCs w:val="20"/>
        </w:rPr>
        <w:t xml:space="preserve">Q: </w:t>
      </w:r>
      <w:r>
        <w:rPr>
          <w:rFonts w:ascii="Arial" w:cs="Arial" w:eastAsia="Arial" w:hAnsi="Arial"/>
          <w:b w:val="false"/>
          <w:bCs w:val="false"/>
          <w:i w:val="false"/>
          <w:iCs w:val="false"/>
          <w:sz w:val="20"/>
          <w:szCs w:val="20"/>
        </w:rPr>
        <w:t xml:space="preserve">How does the geography report group free-text Event.location values until CR-MARKETING-ISS-001 resolves?</w:t>
      </w:r>
    </w:p>
    <w:p>
      <w:pPr>
        <w:spacing w:after="80"/>
      </w:pPr>
      <w:r>
        <w:rPr>
          <w:rFonts w:ascii="Arial" w:cs="Arial" w:eastAsia="Arial" w:hAnsi="Arial"/>
          <w:b/>
          <w:bCs/>
          <w:i w:val="false"/>
          <w:iCs w:val="false"/>
          <w:sz w:val="20"/>
          <w:szCs w:val="20"/>
        </w:rPr>
        <w:t xml:space="preserve">A: </w:t>
      </w:r>
      <w:r>
        <w:rPr>
          <w:rFonts w:ascii="Arial" w:cs="Arial" w:eastAsia="Arial" w:hAnsi="Arial"/>
          <w:b w:val="false"/>
          <w:bCs w:val="false"/>
          <w:i w:val="false"/>
          <w:iCs w:val="false"/>
          <w:sz w:val="20"/>
          <w:szCs w:val="20"/>
        </w:rPr>
        <w:t xml:space="preserve">Exact-match grouping only, with a report note explaining the limitation. Substring or fuzzy matching would create false confidence in groupings that will be replaced anyway. The utility is low-but-nonzero — a raw scan of the data, CSV-exportable for spreadsheet analysis.</w:t>
      </w:r>
    </w:p>
    <w:p>
      <w:pPr>
        <w:spacing w:after="200" w:before="40"/>
        <w:ind w:left="360"/>
      </w:pPr>
      <w:r>
        <w:rPr>
          <w:rFonts w:ascii="Arial" w:cs="Arial" w:eastAsia="Arial" w:hAnsi="Arial"/>
          <w:b/>
          <w:bCs/>
          <w:i/>
          <w:iCs/>
          <w:sz w:val="20"/>
          <w:szCs w:val="20"/>
        </w:rPr>
        <w:t xml:space="preserve">Decision: </w:t>
      </w:r>
      <w:r>
        <w:rPr>
          <w:rFonts w:ascii="Arial" w:cs="Arial" w:eastAsia="Arial" w:hAnsi="Arial"/>
          <w:b w:val="false"/>
          <w:bCs w:val="false"/>
          <w:i/>
          <w:iCs/>
          <w:sz w:val="20"/>
          <w:szCs w:val="20"/>
        </w:rPr>
        <w:t xml:space="preserve">Geography report: exact-match grouping, pending-taxonomy note, CSV export. No heuristic grouping.</w:t>
      </w:r>
    </w:p>
    <w:p>
      <w:pPr>
        <w:spacing w:after="40" w:before="120"/>
      </w:pPr>
      <w:r>
        <w:rPr>
          <w:rFonts w:ascii="Arial" w:cs="Arial" w:eastAsia="Arial" w:hAnsi="Arial"/>
          <w:b/>
          <w:bCs/>
          <w:i w:val="false"/>
          <w:iCs w:val="false"/>
          <w:sz w:val="20"/>
          <w:szCs w:val="20"/>
        </w:rPr>
        <w:t xml:space="preserve">Q: </w:t>
      </w:r>
      <w:r>
        <w:rPr>
          <w:rFonts w:ascii="Arial" w:cs="Arial" w:eastAsia="Arial" w:hAnsi="Arial"/>
          <w:b w:val="false"/>
          <w:bCs w:val="false"/>
          <w:i w:val="false"/>
          <w:iCs w:val="false"/>
          <w:sz w:val="20"/>
          <w:szCs w:val="20"/>
        </w:rPr>
        <w:t xml:space="preserve">Where do the effectiveness reports live relative to the seven operational reports from CR-EVENTS-MANAGE?</w:t>
      </w:r>
    </w:p>
    <w:p>
      <w:pPr>
        <w:spacing w:after="80"/>
      </w:pPr>
      <w:r>
        <w:rPr>
          <w:rFonts w:ascii="Arial" w:cs="Arial" w:eastAsia="Arial" w:hAnsi="Arial"/>
          <w:b/>
          <w:bCs/>
          <w:i w:val="false"/>
          <w:iCs w:val="false"/>
          <w:sz w:val="20"/>
          <w:szCs w:val="20"/>
        </w:rPr>
        <w:t xml:space="preserve">A: </w:t>
      </w:r>
      <w:r>
        <w:rPr>
          <w:rFonts w:ascii="Arial" w:cs="Arial" w:eastAsia="Arial" w:hAnsi="Arial"/>
          <w:b w:val="false"/>
          <w:bCs w:val="false"/>
          <w:i w:val="false"/>
          <w:iCs w:val="false"/>
          <w:sz w:val="20"/>
          <w:szCs w:val="20"/>
        </w:rPr>
        <w:t xml:space="preserve">Combined Event Reports section organized into Operational and Effectiveness subgroups. The Administrator’s perspective is ‘reports about events’; the ownership split is a documentation artifact.</w:t>
      </w:r>
    </w:p>
    <w:p>
      <w:pPr>
        <w:spacing w:after="200" w:before="40"/>
        <w:ind w:left="360"/>
      </w:pPr>
      <w:r>
        <w:rPr>
          <w:rFonts w:ascii="Arial" w:cs="Arial" w:eastAsia="Arial" w:hAnsi="Arial"/>
          <w:b/>
          <w:bCs/>
          <w:i/>
          <w:iCs/>
          <w:sz w:val="20"/>
          <w:szCs w:val="20"/>
        </w:rPr>
        <w:t xml:space="preserve">Decision: </w:t>
      </w:r>
      <w:r>
        <w:rPr>
          <w:rFonts w:ascii="Arial" w:cs="Arial" w:eastAsia="Arial" w:hAnsi="Arial"/>
          <w:b w:val="false"/>
          <w:bCs w:val="false"/>
          <w:i/>
          <w:iCs/>
          <w:sz w:val="20"/>
          <w:szCs w:val="20"/>
        </w:rPr>
        <w:t xml:space="preserve">Single Event Reports section with Operational and Effectiveness subgroups.</w:t>
      </w:r>
    </w:p>
    <w:p>
      <w:pPr>
        <w:pStyle w:val="Heading3"/>
        <w:spacing w:after="120" w:before="240"/>
      </w:pPr>
      <w:r>
        <w:rPr>
          <w:rFonts w:ascii="Arial" w:cs="Arial" w:eastAsia="Arial" w:hAnsi="Arial"/>
          <w:b/>
          <w:bCs/>
          <w:i w:val="false"/>
          <w:iCs w:val="false"/>
          <w:sz w:val="24"/>
          <w:szCs w:val="24"/>
        </w:rPr>
        <w:t xml:space="preserve">Event Comparison Views</w:t>
      </w:r>
    </w:p>
    <w:p>
      <w:pPr>
        <w:spacing w:after="40" w:before="120"/>
      </w:pPr>
      <w:r>
        <w:rPr>
          <w:rFonts w:ascii="Arial" w:cs="Arial" w:eastAsia="Arial" w:hAnsi="Arial"/>
          <w:b/>
          <w:bCs/>
          <w:i w:val="false"/>
          <w:iCs w:val="false"/>
          <w:sz w:val="20"/>
          <w:szCs w:val="20"/>
        </w:rPr>
        <w:t xml:space="preserve">Q: </w:t>
      </w:r>
      <w:r>
        <w:rPr>
          <w:rFonts w:ascii="Arial" w:cs="Arial" w:eastAsia="Arial" w:hAnsi="Arial"/>
          <w:b w:val="false"/>
          <w:bCs w:val="false"/>
          <w:i w:val="false"/>
          <w:iCs w:val="false"/>
          <w:sz w:val="20"/>
          <w:szCs w:val="20"/>
        </w:rPr>
        <w:t xml:space="preserve">Does the Administrator need a dedicated side-by-side Event comparison view beyond the Per-Event Conversion Report?</w:t>
      </w:r>
    </w:p>
    <w:p>
      <w:pPr>
        <w:spacing w:after="80"/>
      </w:pPr>
      <w:r>
        <w:rPr>
          <w:rFonts w:ascii="Arial" w:cs="Arial" w:eastAsia="Arial" w:hAnsi="Arial"/>
          <w:b/>
          <w:bCs/>
          <w:i w:val="false"/>
          <w:iCs w:val="false"/>
          <w:sz w:val="20"/>
          <w:szCs w:val="20"/>
        </w:rPr>
        <w:t xml:space="preserve">A: </w:t>
      </w:r>
      <w:r>
        <w:rPr>
          <w:rFonts w:ascii="Arial" w:cs="Arial" w:eastAsia="Arial" w:hAnsi="Arial"/>
          <w:b w:val="false"/>
          <w:bCs w:val="false"/>
          <w:i w:val="false"/>
          <w:iCs w:val="false"/>
          <w:sz w:val="20"/>
          <w:szCs w:val="20"/>
        </w:rPr>
        <w:t xml:space="preserve">No. The Per-Event Conversion Report filtered to specific Events already answers the comparison question, presented as rows rather than columns. A dedicated view is hard to justify without evidence the roll-ups are insufficient, and CBM’s event volume does not make row-based reading a meaningful burden.</w:t>
      </w:r>
    </w:p>
    <w:p>
      <w:pPr>
        <w:spacing w:after="200" w:before="40"/>
        <w:ind w:left="360"/>
      </w:pPr>
      <w:r>
        <w:rPr>
          <w:rFonts w:ascii="Arial" w:cs="Arial" w:eastAsia="Arial" w:hAnsi="Arial"/>
          <w:b/>
          <w:bCs/>
          <w:i/>
          <w:iCs/>
          <w:sz w:val="20"/>
          <w:szCs w:val="20"/>
        </w:rPr>
        <w:t xml:space="preserve">Decision: </w:t>
      </w:r>
      <w:r>
        <w:rPr>
          <w:rFonts w:ascii="Arial" w:cs="Arial" w:eastAsia="Arial" w:hAnsi="Arial"/>
          <w:b w:val="false"/>
          <w:bCs w:val="false"/>
          <w:i/>
          <w:iCs/>
          <w:sz w:val="20"/>
          <w:szCs w:val="20"/>
        </w:rPr>
        <w:t xml:space="preserve">Roll-ups only. No dedicated side-by-side comparison view in v1.0.</w:t>
      </w:r>
    </w:p>
    <w:p>
      <w:pPr>
        <w:pStyle w:val="Heading3"/>
        <w:spacing w:after="120" w:before="240"/>
      </w:pPr>
      <w:r>
        <w:rPr>
          <w:rFonts w:ascii="Arial" w:cs="Arial" w:eastAsia="Arial" w:hAnsi="Arial"/>
          <w:b/>
          <w:bCs/>
          <w:i w:val="false"/>
          <w:iCs w:val="false"/>
          <w:sz w:val="24"/>
          <w:szCs w:val="24"/>
        </w:rPr>
        <w:t xml:space="preserve">Cross-Sub-Domain Reporting Contribution</w:t>
      </w:r>
    </w:p>
    <w:p>
      <w:pPr>
        <w:spacing w:after="40" w:before="120"/>
      </w:pPr>
      <w:r>
        <w:rPr>
          <w:rFonts w:ascii="Arial" w:cs="Arial" w:eastAsia="Arial" w:hAnsi="Arial"/>
          <w:b/>
          <w:bCs/>
          <w:i w:val="false"/>
          <w:iCs w:val="false"/>
          <w:sz w:val="20"/>
          <w:szCs w:val="20"/>
        </w:rPr>
        <w:t xml:space="preserve">Q: </w:t>
      </w:r>
      <w:r>
        <w:rPr>
          <w:rFonts w:ascii="Arial" w:cs="Arial" w:eastAsia="Arial" w:hAnsi="Arial"/>
          <w:b w:val="false"/>
          <w:bCs w:val="false"/>
          <w:i w:val="false"/>
          <w:iCs w:val="false"/>
          <w:sz w:val="20"/>
          <w:szCs w:val="20"/>
        </w:rPr>
        <w:t xml:space="preserve">Does CR-EVENTS-CONVERT maintain pre-aggregated metrics or a materialized view for the CR Domain cross-sub-domain channel effectiveness report?</w:t>
      </w:r>
    </w:p>
    <w:p>
      <w:pPr>
        <w:spacing w:after="80"/>
      </w:pPr>
      <w:r>
        <w:rPr>
          <w:rFonts w:ascii="Arial" w:cs="Arial" w:eastAsia="Arial" w:hAnsi="Arial"/>
          <w:b/>
          <w:bCs/>
          <w:i w:val="false"/>
          <w:iCs w:val="false"/>
          <w:sz w:val="20"/>
          <w:szCs w:val="20"/>
        </w:rPr>
        <w:t xml:space="preserve">A: </w:t>
      </w:r>
      <w:r>
        <w:rPr>
          <w:rFonts w:ascii="Arial" w:cs="Arial" w:eastAsia="Arial" w:hAnsi="Arial"/>
          <w:b w:val="false"/>
          <w:bCs w:val="false"/>
          <w:i w:val="false"/>
          <w:iCs w:val="false"/>
          <w:sz w:val="20"/>
          <w:szCs w:val="20"/>
        </w:rPr>
        <w:t xml:space="preserve">No. No pre-aggregation, no materialized view. The cross-sub-domain report (defined in Phase 5) computes directly from raw fields this process exposes. Consistent with the computed-on-read pattern throughout this process. Designing a materialized view speculatively risks solving the wrong problem.</w:t>
      </w:r>
    </w:p>
    <w:p>
      <w:pPr>
        <w:spacing w:after="200" w:before="40"/>
        <w:ind w:left="360"/>
      </w:pPr>
      <w:r>
        <w:rPr>
          <w:rFonts w:ascii="Arial" w:cs="Arial" w:eastAsia="Arial" w:hAnsi="Arial"/>
          <w:b/>
          <w:bCs/>
          <w:i/>
          <w:iCs/>
          <w:sz w:val="20"/>
          <w:szCs w:val="20"/>
        </w:rPr>
        <w:t xml:space="preserve">Decision: </w:t>
      </w:r>
      <w:r>
        <w:rPr>
          <w:rFonts w:ascii="Arial" w:cs="Arial" w:eastAsia="Arial" w:hAnsi="Arial"/>
          <w:b w:val="false"/>
          <w:bCs w:val="false"/>
          <w:i/>
          <w:iCs/>
          <w:sz w:val="20"/>
          <w:szCs w:val="20"/>
        </w:rPr>
        <w:t xml:space="preserve">No pre-aggregation. An explicit requirement (REQ-035) lists the fields CR-EVENTS-CONVERT exposes as queryable for Phase 5 consumption. The commitment is documented so a future Phase 5 session does not discover a gap.</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3864" w:sz="6" w:space="1"/>
      </w:pBdr>
      <w:spacing w:after="0"/>
    </w:pPr>
    <w:r>
      <w:rPr>
        <w:rFonts w:ascii="Arial" w:cs="Arial" w:eastAsia="Arial" w:hAnsi="Arial"/>
        <w:b w:val="false"/>
        <w:bCs w:val="false"/>
        <w:i w:val="false"/>
        <w:iCs w:val="false"/>
        <w:color w:val="999999"/>
        <w:sz w:val="16"/>
        <w:szCs w:val="16"/>
      </w:rPr>
      <w:t xml:space="preserve">Process Document — Client Recruiting Domain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3864" w:sz="6" w:space="1"/>
      </w:pBdr>
      <w:spacing w:after="0"/>
    </w:pPr>
    <w:r>
      <w:rPr>
        <w:rFonts w:ascii="Arial" w:cs="Arial" w:eastAsia="Arial" w:hAnsi="Arial"/>
        <w:b w:val="false"/>
        <w:bCs w:val="false"/>
        <w:i w:val="false"/>
        <w:iCs w:val="false"/>
        <w:color w:val="666666"/>
        <w:sz w:val="18"/>
        <w:szCs w:val="18"/>
      </w:rPr>
      <w:t xml:space="preserve">Cleveland Business Mentors</w:t>
    </w:r>
    <w:r>
      <w:ptab w:alignment="right" w:relativeTo="margin" w:leader="none"/>
    </w:r>
    <w:r>
      <w:rPr>
        <w:rFonts w:ascii="Arial" w:cs="Arial" w:eastAsia="Arial" w:hAnsi="Arial"/>
        <w:b w:val="false"/>
        <w:bCs w:val="false"/>
        <w:i w:val="false"/>
        <w:iCs w:val="false"/>
        <w:color w:val="666666"/>
        <w:sz w:val="18"/>
        <w:szCs w:val="18"/>
      </w:rPr>
      <w:t xml:space="preserve">Post-Event Follow-Up and Conversion (CR-EVENTS-CONVERT)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1F3864"/>
      <w:sz w:val="28"/>
      <w:szCs w:val="28"/>
    </w:rPr>
  </w:style>
  <w:style w:type="paragraph" w:styleId="Heading3">
    <w:name w:val="Heading 3"/>
    <w:basedOn w:val="Normal"/>
    <w:next w:val="Normal"/>
    <w:qFormat/>
    <w:pPr>
      <w:spacing w:after="100" w:before="20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2026-04-13T16:37:28.509Z</dcterms:created>
  <dcterms:modified xsi:type="dcterms:W3CDTF">2026-04-13T16:37:28.510Z</dcterms:modified>
</cp:coreProperties>
</file>

<file path=docProps/custom.xml><?xml version="1.0" encoding="utf-8"?>
<Properties xmlns="http://schemas.openxmlformats.org/officeDocument/2006/custom-properties" xmlns:vt="http://schemas.openxmlformats.org/officeDocument/2006/docPropsVTypes"/>
</file>