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Account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(Native — Company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1.5</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04-16-26 23:29</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Contact Entity PRD v1.0,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Company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Mentoring (MN)</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Account entity is the single repository for all organizations known to Cleveland Business Mentors. It is a native Company-type entity shared across three business domains with type-specific fields controlled by dynamic logic visibility rules based on the accountType discriminator.</w:t>
      </w:r>
    </w:p>
    <w:p>
      <w:pPr>
        <w:spacing w:after="120"/>
      </w:pPr>
      <w:r>
        <w:rPr>
          <w:rFonts w:ascii="Arial" w:cs="Arial" w:eastAsia="Arial" w:hAnsi="Arial"/>
          <w:b w:val="false"/>
          <w:bCs w:val="false"/>
          <w:i w:val="false"/>
          <w:iCs w:val="false"/>
          <w:sz w:val="22"/>
          <w:szCs w:val="22"/>
        </w:rPr>
        <w:t xml:space="preserve">A single Account can hold multiple types simultaneously. A community organization that refers clients, co-delivers programs, and provides funding would have accountType values of Client, Partner, and Donor/Sponsor. Dynamic logic uses the “accountType has [value]” condition to show or hide type-specific fields, meaning an Account with multiple types sees the union of all relevant fields.</w:t>
      </w:r>
    </w:p>
    <w:p>
      <w:pPr>
        <w:spacing w:after="120"/>
      </w:pPr>
      <w:r>
        <w:rPr>
          <w:rFonts w:ascii="Arial" w:cs="Arial" w:eastAsia="Arial" w:hAnsi="Arial"/>
          <w:b w:val="false"/>
          <w:bCs w:val="false"/>
          <w:i w:val="false"/>
          <w:iCs w:val="false"/>
          <w:sz w:val="22"/>
          <w:szCs w:val="22"/>
        </w:rPr>
        <w:t xml:space="preserve">The Account entity is the second cross-domain shared entity in the implementation, following the Contact entity. While Contact spans all four domains with seven contact types, Account spans three domains with three account types. The Client Recruiting (CR) and Fundraising (FU) domains have summary-level data only — this Entity PRD will require updates when those domain process documents are completed.</w:t>
      </w:r>
    </w:p>
    <w:p>
      <w:pPr>
        <w:spacing w:after="120"/>
      </w:pPr>
      <w:r>
        <w:rPr>
          <w:rFonts w:ascii="Arial" w:cs="Arial" w:eastAsia="Arial" w:hAnsi="Arial"/>
          <w:b/>
          <w:bCs/>
          <w:i w:val="false"/>
          <w:iCs w:val="false"/>
          <w:sz w:val="22"/>
          <w:szCs w:val="22"/>
        </w:rPr>
        <w:t xml:space="preserve">Domain coverage:</w:t>
      </w:r>
      <w:r>
        <w:rPr>
          <w:rFonts w:ascii="Arial" w:cs="Arial" w:eastAsia="Arial" w:hAnsi="Arial"/>
          <w:b w:val="false"/>
          <w:bCs w:val="false"/>
          <w:i w:val="false"/>
          <w:iCs w:val="false"/>
          <w:sz w:val="22"/>
          <w:szCs w:val="22"/>
        </w:rPr>
        <w:t xml:space="preserve"> The Mentoring (MN) domain has complete field-level detail from the reconciled Domain PRD v1.0 and five process documents. The Client Recruiting (CR) and Fundraising (FU) domains have summary-level data from legacy Domain PRDs. This Entity PRD will require updates when CR and FU domain process documents are completed.</w:t>
      </w:r>
    </w:p>
    <w:p>
      <w:pPr>
        <w:spacing w:after="120"/>
      </w:pPr>
      <w:r>
        <w:rPr>
          <w:rFonts w:ascii="Arial" w:cs="Arial" w:eastAsia="Arial" w:hAnsi="Arial"/>
          <w:b/>
          <w:bCs/>
          <w:i w:val="false"/>
          <w:iCs w:val="false"/>
          <w:sz w:val="22"/>
          <w:szCs w:val="22"/>
        </w:rPr>
        <w:t xml:space="preserve">Cross-reference:</w:t>
      </w:r>
      <w:r>
        <w:rPr>
          <w:rFonts w:ascii="Arial" w:cs="Arial" w:eastAsia="Arial" w:hAnsi="Arial"/>
          <w:b w:val="false"/>
          <w:bCs w:val="false"/>
          <w:i w:val="false"/>
          <w:iCs w:val="false"/>
          <w:sz w:val="22"/>
          <w:szCs w:val="22"/>
        </w:rPr>
        <w:t xml:space="preserve"> The Contact Entity PRD v1.0 (CON-DEC-001) established that Primary Contact is a bool on the Contact-to-Account relationship. That relationship-level attribute is defined in this document (Section 4).</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Account entity because of its Company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Name (MN-INTAKE-DAT-001), Organization Name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MN-INACTIVE, MN-CLOSE,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email address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phone number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Website (MN-INTAKE-DAT-002), Partner/Funder website</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billingAddressStreet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 (MN-INTAKE-DAT-003)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billingAddressState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billingAddressCountry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billingAddressPostalCode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postal code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sicCode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Standard Industrial Classification code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 (native plain text)</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(Partner description)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address:</w:t>
      </w:r>
      <w:r>
        <w:rPr>
          <w:rFonts w:ascii="Arial" w:cs="Arial" w:eastAsia="Arial" w:hAnsi="Arial"/>
          <w:b w:val="false"/>
          <w:bCs w:val="false"/>
          <w:i w:val="false"/>
          <w:iCs w:val="false"/>
          <w:sz w:val="22"/>
          <w:szCs w:val="22"/>
        </w:rPr>
        <w:t xml:space="preserve"> The MN domain collects business address during Client Intake (MN-INTAKE-DAT-003). The CR and FU domains also reference organization address for partners and funders. All map to the native billingAddress composite. The shippingAddress composite is available but not referenced by any PRD.</w:t>
      </w:r>
    </w:p>
    <w:p>
      <w:pPr>
        <w:spacing w:after="120"/>
      </w:pPr>
      <w:r>
        <w:rPr>
          <w:rFonts w:ascii="Arial" w:cs="Arial" w:eastAsia="Arial" w:hAnsi="Arial"/>
          <w:b/>
          <w:bCs/>
          <w:i w:val="false"/>
          <w:iCs w:val="false"/>
          <w:sz w:val="22"/>
          <w:szCs w:val="22"/>
        </w:rPr>
        <w:t xml:space="preserve">Note on name:</w:t>
      </w:r>
      <w:r>
        <w:rPr>
          <w:rFonts w:ascii="Arial" w:cs="Arial" w:eastAsia="Arial" w:hAnsi="Arial"/>
          <w:b w:val="false"/>
          <w:bCs w:val="false"/>
          <w:i w:val="false"/>
          <w:iCs w:val="false"/>
          <w:sz w:val="22"/>
          <w:szCs w:val="22"/>
        </w:rPr>
        <w:t xml:space="preserve"> The native name field serves as the organization name for all account types. For Client accounts, the MN Domain PRD notes that name is optional because pre-startup applicants may not yet have a business name.</w:t>
      </w:r>
    </w:p>
    <w:p>
      <w:pPr>
        <w:spacing w:after="120"/>
      </w:pPr>
      <w:r>
        <w:rPr>
          <w:rFonts w:ascii="Arial" w:cs="Arial" w:eastAsia="Arial" w:hAnsi="Arial"/>
          <w:b/>
          <w:bCs/>
          <w:i w:val="false"/>
          <w:iCs w:val="false"/>
          <w:sz w:val="22"/>
          <w:szCs w:val="22"/>
        </w:rPr>
        <w:t xml:space="preserve">Note on description:</w:t>
      </w:r>
      <w:r>
        <w:rPr>
          <w:rFonts w:ascii="Arial" w:cs="Arial" w:eastAsia="Arial" w:hAnsi="Arial"/>
          <w:b w:val="false"/>
          <w:bCs w:val="false"/>
          <w:i w:val="false"/>
          <w:iCs w:val="false"/>
          <w:sz w:val="22"/>
          <w:szCs w:val="22"/>
        </w:rPr>
        <w:t xml:space="preserve"> The native description field is plain text (not rich text). Type-specific wysiwyg notes fields are defined in Section 3 for use cases requiring rich text formatting and role-based access control.</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types, no dynamic logic required) and type-specific fields (controlled by dynamic logic visibility rules).</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account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Account entity. Determines which type-specific fields and panels are visible. An Account may hold any combination of values. Set based on how the organization enters the system (e.g., Client at MN-INTAKE submission, Partner at CR-PARTNER creation, Donor/Sponsor when a contribution is recorded).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parentOrganization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Self-referencing link to Account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another Account record that is the parent organization. Supports organizational hierarchies such as branches, chapters, subsidiaries, or franchise relationships. Both parent and child are independent records with their own profiles. Originally defined for Partner organizations (CR domain) but applicable to all account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organization’s LinkedIn page URL. Provides organizational background context. Mirrors the linkedInProfile field on the Contact entity.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Client-Specific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Client. All fields in this section use the dynamic logic visibility rule: accountType has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For-Profit, Non-Profit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organization operates as a for-profit business or a nonprofit. Drives funder reporting categories.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businessStage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Pre-Startup, Startup, Early Stage, Growth Stage, Established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stage of business development the client organization is in. Used for mentor matching and funder reporting.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industrySector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20 top-level NAICS sectors</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industry sector based on NAICS. Used for mentor matching (compared against the mentor’s industrySectors field) and impact reporting. Drives the Industry Subsector filter. Values must align with the industrySectors field on the Mentor Contact.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industrySubsector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~100 subsectors filtered by Industry Sector — see ACT-ISS-003</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industry subsector within the selected Industry Sector. Filtered dependent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MN-DOMAIN</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specific to the client relationship.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Client Administrator and above. Hidden from Mentors.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clientStatus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pending CBM leadership input — see CR-MARKETING-ISS-004. Straw man: Prospect, Applicant, Active Client, On Hold, Former Client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Prospect</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t xml:space="preserve">Client-relationship lifecycle of a client company. Tracks where the company is in their relationship with CBM, from initial marketing-stage prospect through active engagement to former client. Set to Prospect at Account creation when the Account is first created via a CR-MARKETING pathway with company information provided. Transitions to Applicant at MN-INTAKE when a linked Contact submits an application (or a new Account is created at Applicant if none exists, using the existing pre-startup naming logic from MN-INTAKE-REQ-008). Distinct from Contact.prospectStatus, which tracks the marketing-funnel state of an individual person. The two fields answer different questions: Account.clientStatus is about the company's relationship with CBM; Contact.prospectStatus is about an individual's marketing engagement. Multiple Contacts can be linked to the same Account at the same engagement, and the Account-level clientStatus correctly represents the relationship without ambiguity from any individual Contact's prospectStatus. Closes ACT-ISS-001. Source: CR-MARKETING Sub-Domain Overview v1.0. Domains: CR, MN.</w:t>
            </w:r>
          </w:p>
        </w:tc>
      </w:tr>
      <w:tr>
        <w:tc>
          <w:tcPr>
            <w:tcW w:type="dxa" w:w="2200"/>
          </w:tcPr>
          <w:p>
            <w:r>
              <w:t>applicantSince</w:t>
            </w:r>
          </w:p>
        </w:tc>
        <w:tc>
          <w:tcPr>
            <w:tcW w:type="dxa" w:w="1100"/>
          </w:tcPr>
          <w:p>
            <w:r>
              <w:t>datetime</w:t>
            </w:r>
          </w:p>
        </w:tc>
        <w:tc>
          <w:tcPr>
            <w:tcW w:type="dxa" w:w="800"/>
          </w:tcPr>
          <w:p>
            <w:r>
              <w:t>No</w:t>
            </w:r>
          </w:p>
        </w:tc>
        <w:tc>
          <w:tcPr>
            <w:tcW w:type="dxa" w:w="2400"/>
          </w:tcPr>
          <w:p>
            <w:r>
              <w:t>—</w:t>
            </w:r>
          </w:p>
        </w:tc>
        <w:tc>
          <w:tcPr>
            <w:tcW w:type="dxa" w:w="1000"/>
          </w:tcPr>
          <w:p>
            <w:r>
              <w:t>— (system-populated by MN-INTAKE)</w:t>
            </w:r>
          </w:p>
        </w:tc>
        <w:tc>
          <w:tcPr>
            <w:tcW w:type="dxa" w:w="1860"/>
          </w:tcPr>
          <w:p>
            <w:r>
              <w:t>CR-EVENTS-CONVERT-DAT-025</w:t>
            </w:r>
          </w:p>
        </w:tc>
      </w:tr>
      <w:tr>
        <w:tc>
          <w:tcPr>
            <w:tcW w:type="dxa" w:w="9360"/>
            <w:gridSpan w:val="6"/>
          </w:tcPr>
          <w:p>
            <w:r>
              <w:t>Timestamp recording when this Account’s clientStatus first transitioned to Applicant. System-populated by MN-INTAKE (REQ-011, updated in v2.4). The “if currently null” guard ensures the timestamp records the first time the account reached Applicant status, not subsequent re-applications. Used by CR-EVENTS-CONVERT as the application-side anchor for conversion window calculation. Source: CR-EVENTS-CONVERT v1.0. Domains: CR, MN.</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Partner-Specific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Partner. All fields in this section use the dynamic logic visibility rule: accountType has Partner.</w:t>
      </w:r>
    </w:p>
    <w:p>
      <w:pPr>
        <w:spacing w:after="120"/>
      </w:pPr>
      <w:r>
        <w:rPr>
          <w:rFonts w:ascii="Arial" w:cs="Arial" w:eastAsia="Arial" w:hAnsi="Arial"/>
          <w:b/>
          <w:bCs/>
          <w:i w:val="false"/>
          <w:iCs w:val="false"/>
          <w:color w:val="1F3864"/>
          <w:sz w:val="22"/>
          <w:szCs w:val="22"/>
        </w:rPr>
        <w:t xml:space="preserve">Classification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Chamber of Commerce, SBDC, Economic Development Agency, University / Academic Institution, Bank / Financial Institution, Nonprofit / Community Organization, Government Agency, Corporate Sponsor,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organization the partner represents.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Referral Partner, Co-Delivery Partner, Funding / Sponsorship Partner, Resource Partner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nature of the partnership with CBM. A partner may hold more than one type simultaneously — for example, an organization that both refers clients and co-delivers programs.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Active, Lapsed, Inactive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partner relationship. Status changes may be accompanied by a note at the Partner Coordinator’s discretion.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partnershipStartDate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partnership was formally established. Optional for Prospect accounts, expected when status transitions to Active.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Relationship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assignedLiaison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Contact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CBM member responsible for managing this partner relationship. Links to a Contact record. Required for Active partners. Only the current liaison is recorded — liaison history is tracked through the activity stream.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publicAnnouncementAllowed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CBM may publicly reference this partnership in its marketing and communications.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Service Area and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geographicServiceArea</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geographic territory or community the partner primarily serves — for example, City of Cleveland, Cuyahoga County, Greater Akron.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Format (free text vs. controlled list) is an open issue — see ACT-ISS-004.</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targetPopulation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population or business segment the partner focuses on — for example, minority-owned businesses, women entrepreneurs, or underserved communities.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partner relationship, key milestones, and relevant context.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Partner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3.4 Donor/Sponsor-Specific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Donor/Sponsor. All fields in this section use the dynamic logic visibility rule: accountType has Donor/Sponsor.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Corporation, Foundation, Government Agency, Community Foundation, Individual (Organization),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funding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Contacted, In Discussion, Committed, Active, Lapsed, Closed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funder relationship with CBM.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funderLifetimeGiving</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currency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FU-STEWARD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of all linked Contribution records (Donations, Grants, Sponsorships) for this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funderNotes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funder relationship, interests, giving history context, and stewardship activities.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Donor/Sponsor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3.5 Incomplete Domain Fields</w:t>
      </w:r>
    </w:p>
    <w:p>
      <w:pPr>
        <w:spacing w:after="120"/>
      </w:pPr>
      <w:r>
        <w:rPr>
          <w:rFonts w:ascii="Arial" w:cs="Arial" w:eastAsia="Arial" w:hAnsi="Arial"/>
          <w:b w:val="false"/>
          <w:bCs w:val="false"/>
          <w:i w:val="false"/>
          <w:iCs w:val="false"/>
          <w:sz w:val="22"/>
          <w:szCs w:val="22"/>
        </w:rPr>
        <w:t xml:space="preserve">The following account types may have additional fields defined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 xml:space="preserve">Client</w:t>
      </w:r>
      <w:r>
        <w:rPr>
          <w:rFonts w:ascii="Arial" w:cs="Arial" w:eastAsia="Arial" w:hAnsi="Arial"/>
          <w:b w:val="false"/>
          <w:bCs w:val="false"/>
          <w:i w:val="false"/>
          <w:iCs w:val="false"/>
          <w:sz w:val="22"/>
          <w:szCs w:val="22"/>
        </w:rPr>
        <w:t xml:space="preserve"> — A Client-specific lifecycle field (analogous to partnerStatus or funderStatus) is an open issue (ACT-ISS-001). Additional Client fields may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Additional Partner fields may be defined when CR domain process documents are completed under the new document production process. Current fields are derived from the legacy CR Domain PRD.</w:t>
      </w:r>
    </w:p>
    <w:p>
      <w:pPr>
        <w:pStyle w:val="ListParagraph"/>
        <w:numPr>
          <w:ilvl w:val="0"/>
          <w:numId w:val="2"/>
        </w:numPr>
        <w:spacing w:after="60"/>
      </w:pPr>
      <w:r>
        <w:rPr>
          <w:rFonts w:ascii="Arial" w:cs="Arial" w:eastAsia="Arial" w:hAnsi="Arial"/>
          <w:b/>
          <w:bCs/>
          <w:i w:val="false"/>
          <w:iCs w:val="false"/>
          <w:sz w:val="22"/>
          <w:szCs w:val="22"/>
        </w:rPr>
        <w:t xml:space="preserve">Donor/Sponsor</w:t>
      </w:r>
      <w:r>
        <w:rPr>
          <w:rFonts w:ascii="Arial" w:cs="Arial" w:eastAsia="Arial" w:hAnsi="Arial"/>
          <w:b w:val="false"/>
          <w:bCs w:val="false"/>
          <w:i w:val="false"/>
          <w:iCs w:val="false"/>
          <w:sz w:val="22"/>
          <w:szCs w:val="22"/>
        </w:rPr>
        <w:t xml:space="preserve"> — Additional Donor/Sponsor fields may be defined when FU domain process documents are completed under the new document production process. Current fields are derived from the legacy FU Domain PRD.</w:t>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Account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 + CON-DEC-001</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Partnership Agreement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CR-PARTNER-REQ-006</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Contribution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FU-RECORD</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Client-Partner Association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Client-Partner Association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CR-PARTNER-DAT-007</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Partner Activity</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Activity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Workshop (Co-Sponsor)</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CR-EVENTS-REQ-005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Account (Parent)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 (self-ref)</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All (shared)</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Primary Contact on Contact-Account relationship:</w:t>
      </w:r>
      <w:r>
        <w:rPr>
          <w:rFonts w:ascii="Arial" w:cs="Arial" w:eastAsia="Arial" w:hAnsi="Arial"/>
          <w:b w:val="false"/>
          <w:bCs w:val="false"/>
          <w:i w:val="false"/>
          <w:iCs w:val="false"/>
          <w:sz w:val="22"/>
          <w:szCs w:val="22"/>
        </w:rPr>
        <w:t xml:space="preserve"> The Contact-to-Account relationship includes a primaryContact bool on the middle table (CON-DEC-001). This allows designating one Contact as the primary contact for each Account independently. A single Contact can be the primary contact for one Account but not for another. Implementation requires adding a custom column to the native Contact-Account relationship middle table.</w:t>
      </w:r>
    </w:p>
    <w:p>
      <w:pPr>
        <w:spacing w:after="120"/>
      </w:pPr>
      <w:r>
        <w:rPr>
          <w:rFonts w:ascii="Arial" w:cs="Arial" w:eastAsia="Arial" w:hAnsi="Arial"/>
          <w:b/>
          <w:bCs/>
          <w:i w:val="false"/>
          <w:iCs w:val="false"/>
          <w:sz w:val="22"/>
          <w:szCs w:val="22"/>
        </w:rPr>
        <w:t xml:space="preserve">Anticipated future relationships:</w:t>
      </w:r>
      <w:r>
        <w:rPr>
          <w:rFonts w:ascii="Arial" w:cs="Arial" w:eastAsia="Arial" w:hAnsi="Arial"/>
          <w:b w:val="false"/>
          <w:bCs w:val="false"/>
          <w:i w:val="false"/>
          <w:iCs w:val="false"/>
          <w:sz w:val="22"/>
          <w:szCs w:val="22"/>
        </w:rPr>
        <w:t xml:space="preserve"> Account → Fundraising Campaign (FU domain), Account → Event Registration (CR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accountType discriminator. Because accountType is a multiEnum, rules use the “has” operator — an Account with accountType = [Partner, Donor/Sponsor] would see both Partner-specific and Donor/Sponsor-specific fields.</w:t>
      </w:r>
    </w:p>
    <w:p>
      <w:pPr>
        <w:pStyle w:val="Heading2"/>
        <w:spacing w:after="120" w:before="240"/>
      </w:pPr>
      <w:r>
        <w:rPr>
          <w:rFonts w:ascii="Arial" w:cs="Arial" w:eastAsia="Arial" w:hAnsi="Arial"/>
          <w:b/>
          <w:bCs/>
          <w:i w:val="false"/>
          <w:iCs w:val="false"/>
          <w:color w:val="1F3864"/>
          <w:sz w:val="28"/>
          <w:szCs w:val="28"/>
        </w:rPr>
        <w:t xml:space="preserve">5.1 Client (accountType has Client)</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Client</w:t>
      </w:r>
    </w:p>
    <w:p>
      <w:pPr>
        <w:spacing w:after="120"/>
      </w:pPr>
      <w:r>
        <w:rPr>
          <w:rFonts w:ascii="Arial" w:cs="Arial" w:eastAsia="Arial" w:hAnsi="Arial"/>
          <w:b/>
          <w:bCs/>
          <w:i w:val="false"/>
          <w:iCs w:val="false"/>
          <w:sz w:val="22"/>
          <w:szCs w:val="22"/>
        </w:rPr>
        <w:t xml:space="preserve">Show all fields in Section 3.2:</w:t>
      </w:r>
      <w:r>
        <w:rPr>
          <w:rFonts w:ascii="Arial" w:cs="Arial" w:eastAsia="Arial" w:hAnsi="Arial"/>
          <w:b w:val="false"/>
          <w:bCs w:val="false"/>
          <w:i w:val="false"/>
          <w:iCs w:val="false"/>
          <w:sz w:val="22"/>
          <w:szCs w:val="22"/>
        </w:rPr>
        <w:t xml:space="preserve"> organizationType, businessStage, industrySector, industrySubsector, clientNotes</w:t>
      </w:r>
    </w:p>
    <w:p>
      <w:pPr>
        <w:pStyle w:val="Heading2"/>
        <w:spacing w:after="120" w:before="240"/>
      </w:pPr>
      <w:r>
        <w:rPr>
          <w:rFonts w:ascii="Arial" w:cs="Arial" w:eastAsia="Arial" w:hAnsi="Arial"/>
          <w:b/>
          <w:bCs/>
          <w:i w:val="false"/>
          <w:iCs w:val="false"/>
          <w:color w:val="1F3864"/>
          <w:sz w:val="28"/>
          <w:szCs w:val="28"/>
        </w:rPr>
        <w:t xml:space="preserve">5.2 Partner (accountType has Partner)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Partner</w:t>
      </w:r>
    </w:p>
    <w:p>
      <w:pPr>
        <w:spacing w:after="120"/>
      </w:pPr>
      <w:r>
        <w:rPr>
          <w:rFonts w:ascii="Arial" w:cs="Arial" w:eastAsia="Arial" w:hAnsi="Arial"/>
          <w:b/>
          <w:bCs/>
          <w:i w:val="false"/>
          <w:iCs w:val="false"/>
          <w:sz w:val="22"/>
          <w:szCs w:val="22"/>
        </w:rPr>
        <w:t xml:space="preserve">Show all fields in Section 3.3:</w:t>
      </w:r>
      <w:r>
        <w:rPr>
          <w:rFonts w:ascii="Arial" w:cs="Arial" w:eastAsia="Arial" w:hAnsi="Arial"/>
          <w:b w:val="false"/>
          <w:bCs w:val="false"/>
          <w:i w:val="false"/>
          <w:iCs w:val="false"/>
          <w:sz w:val="22"/>
          <w:szCs w:val="22"/>
        </w:rPr>
        <w:t xml:space="preserve"> partnerOrganizationType, partnerType, partnerStatus, partnershipStartDate, assignedLiaison, publicAnnouncementAllowed, geographicServiceArea, targetPopulation, partnerNotes</w:t>
      </w:r>
    </w:p>
    <w:p>
      <w:pPr>
        <w:pStyle w:val="Heading2"/>
        <w:spacing w:after="120" w:before="240"/>
      </w:pPr>
      <w:r>
        <w:rPr>
          <w:rFonts w:ascii="Arial" w:cs="Arial" w:eastAsia="Arial" w:hAnsi="Arial"/>
          <w:b/>
          <w:bCs/>
          <w:i w:val="false"/>
          <w:iCs w:val="false"/>
          <w:color w:val="1F3864"/>
          <w:sz w:val="28"/>
          <w:szCs w:val="28"/>
        </w:rPr>
        <w:t xml:space="preserve">5.3 Donor/Sponsor (accountType has Donor/Sponsor)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Donor/Sponsor</w:t>
      </w:r>
    </w:p>
    <w:p>
      <w:pPr>
        <w:spacing w:after="120"/>
      </w:pPr>
      <w:r>
        <w:rPr>
          <w:rFonts w:ascii="Arial" w:cs="Arial" w:eastAsia="Arial" w:hAnsi="Arial"/>
          <w:b/>
          <w:bCs/>
          <w:i w:val="false"/>
          <w:iCs w:val="false"/>
          <w:sz w:val="22"/>
          <w:szCs w:val="22"/>
        </w:rPr>
        <w:t xml:space="preserve">Show all fields in Section 3.4:</w:t>
      </w:r>
      <w:r>
        <w:rPr>
          <w:rFonts w:ascii="Arial" w:cs="Arial" w:eastAsia="Arial" w:hAnsi="Arial"/>
          <w:b w:val="false"/>
          <w:bCs w:val="false"/>
          <w:i w:val="false"/>
          <w:iCs w:val="false"/>
          <w:sz w:val="22"/>
          <w:szCs w:val="22"/>
        </w:rPr>
        <w:t xml:space="preserve"> funderType, funderStatus, funderLifetimeGiving, funderNotes</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Account detail view. Final layout is determined during YAML generation. Dynamic logic hides entire panels when the relevant accountType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name, website, emailAddress, phoneNumber, billingAddress composite. Custom shared fields: accountType, parentOrganization, linkedInProfile. Native system fields: assignedUser.</w:t>
      </w:r>
    </w:p>
    <w:p>
      <w:pPr>
        <w:spacing w:after="120"/>
      </w:pPr>
      <w:r>
        <w:rPr>
          <w:rFonts w:ascii="Arial" w:cs="Arial" w:eastAsia="Arial" w:hAnsi="Arial"/>
          <w:b/>
          <w:bCs/>
          <w:i w:val="false"/>
          <w:iCs w:val="false"/>
          <w:color w:val="1F3864"/>
          <w:sz w:val="22"/>
          <w:szCs w:val="22"/>
        </w:rPr>
        <w:t xml:space="preserve">Client Profile Panel (accountType has Client)</w:t>
      </w:r>
    </w:p>
    <w:p>
      <w:pPr>
        <w:spacing w:after="120"/>
      </w:pPr>
      <w:r>
        <w:rPr>
          <w:rFonts w:ascii="Arial" w:cs="Arial" w:eastAsia="Arial" w:hAnsi="Arial"/>
          <w:b w:val="false"/>
          <w:bCs w:val="false"/>
          <w:i w:val="false"/>
          <w:iCs w:val="false"/>
          <w:sz w:val="22"/>
          <w:szCs w:val="22"/>
        </w:rPr>
        <w:t xml:space="preserve">organizationType, businessStage, industrySector, industrySubsector, clientNotes.</w:t>
      </w:r>
    </w:p>
    <w:p>
      <w:pPr>
        <w:spacing w:after="120"/>
      </w:pPr>
      <w:r>
        <w:rPr>
          <w:rFonts w:ascii="Arial" w:cs="Arial" w:eastAsia="Arial" w:hAnsi="Arial"/>
          <w:b/>
          <w:bCs/>
          <w:i w:val="false"/>
          <w:iCs w:val="false"/>
          <w:color w:val="1F3864"/>
          <w:sz w:val="22"/>
          <w:szCs w:val="22"/>
        </w:rPr>
        <w:t xml:space="preserve">Partner Classification Panel (accountType has Partner)</w:t>
      </w:r>
    </w:p>
    <w:p>
      <w:pPr>
        <w:spacing w:after="120"/>
      </w:pPr>
      <w:r>
        <w:rPr>
          <w:rFonts w:ascii="Arial" w:cs="Arial" w:eastAsia="Arial" w:hAnsi="Arial"/>
          <w:b w:val="false"/>
          <w:bCs w:val="false"/>
          <w:i w:val="false"/>
          <w:iCs w:val="false"/>
          <w:sz w:val="22"/>
          <w:szCs w:val="22"/>
        </w:rPr>
        <w:t xml:space="preserve">partnerOrganizationType, partnerType, partnerStatus, partnershipStartDate.</w:t>
      </w:r>
    </w:p>
    <w:p>
      <w:pPr>
        <w:spacing w:after="120"/>
      </w:pPr>
      <w:r>
        <w:rPr>
          <w:rFonts w:ascii="Arial" w:cs="Arial" w:eastAsia="Arial" w:hAnsi="Arial"/>
          <w:b/>
          <w:bCs/>
          <w:i w:val="false"/>
          <w:iCs w:val="false"/>
          <w:color w:val="1F3864"/>
          <w:sz w:val="22"/>
          <w:szCs w:val="22"/>
        </w:rPr>
        <w:t xml:space="preserve">Partner Relationship Panel (accountType has Partner)</w:t>
      </w:r>
    </w:p>
    <w:p>
      <w:pPr>
        <w:spacing w:after="120"/>
      </w:pPr>
      <w:r>
        <w:rPr>
          <w:rFonts w:ascii="Arial" w:cs="Arial" w:eastAsia="Arial" w:hAnsi="Arial"/>
          <w:b w:val="false"/>
          <w:bCs w:val="false"/>
          <w:i w:val="false"/>
          <w:iCs w:val="false"/>
          <w:sz w:val="22"/>
          <w:szCs w:val="22"/>
        </w:rPr>
        <w:t xml:space="preserve">assignedLiaison, publicAnnouncementAllowed, geographicServiceArea, targetPopulation, partnerNotes.</w:t>
      </w:r>
    </w:p>
    <w:p>
      <w:pPr>
        <w:spacing w:after="120"/>
      </w:pPr>
      <w:r>
        <w:rPr>
          <w:rFonts w:ascii="Arial" w:cs="Arial" w:eastAsia="Arial" w:hAnsi="Arial"/>
          <w:b/>
          <w:bCs/>
          <w:i w:val="false"/>
          <w:iCs w:val="false"/>
          <w:color w:val="1F3864"/>
          <w:sz w:val="22"/>
          <w:szCs w:val="22"/>
        </w:rPr>
        <w:t xml:space="preserve">Donor/Sponsor Profile Panel (accountType has Donor/Sponsor)</w:t>
      </w:r>
    </w:p>
    <w:p>
      <w:pPr>
        <w:spacing w:after="120"/>
      </w:pPr>
      <w:r>
        <w:rPr>
          <w:rFonts w:ascii="Arial" w:cs="Arial" w:eastAsia="Arial" w:hAnsi="Arial"/>
          <w:b w:val="false"/>
          <w:bCs w:val="false"/>
          <w:i w:val="false"/>
          <w:iCs w:val="false"/>
          <w:sz w:val="22"/>
          <w:szCs w:val="22"/>
        </w:rPr>
        <w:t xml:space="preserve">funderType, funderStatus, funderLifetimeGiving, funderNotes.</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w:t>
      </w:r>
      <w:r>
        <w:rPr>
          <w:rFonts w:ascii="Arial" w:cs="Arial" w:eastAsia="Arial" w:hAnsi="Arial"/>
          <w:b w:val="false"/>
          <w:bCs w:val="false"/>
          <w:i w:val="false"/>
          <w:iCs w:val="false"/>
          <w:sz w:val="22"/>
          <w:szCs w:val="22"/>
        </w:rPr>
        <w:t xml:space="preserve"> funderLifetimeGiving is the sum of all linked Contribution records (Donations, Grants, Sponsorships) for this Account. It is system-calculated and read-only.</w:t>
      </w:r>
    </w:p>
    <w:p>
      <w:pPr>
        <w:spacing w:after="120"/>
      </w:pPr>
      <w:r>
        <w:rPr>
          <w:rFonts w:ascii="Arial" w:cs="Arial" w:eastAsia="Arial" w:hAnsi="Arial"/>
          <w:b/>
          <w:bCs/>
          <w:i w:val="false"/>
          <w:iCs w:val="false"/>
          <w:sz w:val="22"/>
          <w:szCs w:val="22"/>
        </w:rPr>
        <w:t xml:space="preserve">2. Field-level access control:</w:t>
      </w:r>
      <w:r>
        <w:rPr>
          <w:rFonts w:ascii="Arial" w:cs="Arial" w:eastAsia="Arial" w:hAnsi="Arial"/>
          <w:b w:val="false"/>
          <w:bCs w:val="false"/>
          <w:i w:val="false"/>
          <w:iCs w:val="false"/>
          <w:sz w:val="22"/>
          <w:szCs w:val="22"/>
        </w:rPr>
        <w:t xml:space="preserve"> clientNotes is restricted to Client Administrator and above. partnerNotes is restricted to Partner Coordinator and above. funderNotes is restricted to Donor/Sponsor Coordinator and above. All three notes fields are hidden from Mentors viewing Account records.</w:t>
      </w:r>
    </w:p>
    <w:p>
      <w:pPr>
        <w:spacing w:after="120"/>
      </w:pPr>
      <w:r>
        <w:rPr>
          <w:rFonts w:ascii="Arial" w:cs="Arial" w:eastAsia="Arial" w:hAnsi="Arial"/>
          <w:b/>
          <w:bCs/>
          <w:i w:val="false"/>
          <w:iCs w:val="false"/>
          <w:sz w:val="22"/>
          <w:szCs w:val="22"/>
        </w:rPr>
        <w:t xml:space="preserve">3. Audited fields:</w:t>
      </w:r>
      <w:r>
        <w:rPr>
          <w:rFonts w:ascii="Arial" w:cs="Arial" w:eastAsia="Arial" w:hAnsi="Arial"/>
          <w:b w:val="false"/>
          <w:bCs w:val="false"/>
          <w:i w:val="false"/>
          <w:iCs w:val="false"/>
          <w:sz w:val="22"/>
          <w:szCs w:val="22"/>
        </w:rPr>
        <w:t xml:space="preserve"> partnerStatus and funderStatus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4. Primary Contact on relationship:</w:t>
      </w:r>
      <w:r>
        <w:rPr>
          <w:rFonts w:ascii="Arial" w:cs="Arial" w:eastAsia="Arial" w:hAnsi="Arial"/>
          <w:b w:val="false"/>
          <w:bCs w:val="false"/>
          <w:i w:val="false"/>
          <w:iCs w:val="false"/>
          <w:sz w:val="22"/>
          <w:szCs w:val="22"/>
        </w:rPr>
        <w:t xml:space="preserve"> The Contact-to-Account manyToMany relationship requires a primaryContact bool column on the middle table. This is not a field on the Account entity itself. Implementation requires adding a custom column to the native relationship’s middle table during YAML generation.</w:t>
      </w:r>
    </w:p>
    <w:p>
      <w:pPr>
        <w:spacing w:after="120"/>
      </w:pPr>
      <w:r>
        <w:rPr>
          <w:rFonts w:ascii="Arial" w:cs="Arial" w:eastAsia="Arial" w:hAnsi="Arial"/>
          <w:b/>
          <w:bCs/>
          <w:i w:val="false"/>
          <w:iCs w:val="false"/>
          <w:sz w:val="22"/>
          <w:szCs w:val="22"/>
        </w:rPr>
        <w:t xml:space="preserve">5. Parent-child hierarchy:</w:t>
      </w:r>
      <w:r>
        <w:rPr>
          <w:rFonts w:ascii="Arial" w:cs="Arial" w:eastAsia="Arial" w:hAnsi="Arial"/>
          <w:b w:val="false"/>
          <w:bCs w:val="false"/>
          <w:i w:val="false"/>
          <w:iCs w:val="false"/>
          <w:sz w:val="22"/>
          <w:szCs w:val="22"/>
        </w:rPr>
        <w:t xml:space="preserve"> The parentOrganization field creates a self-referencing Account-to-Account relationship. This is a shared field — any Account type can have a parent organization. The relationship supports organizational hierarchies (branches, chapters, subsidiaries, franchises) across all account types.</w:t>
      </w:r>
    </w:p>
    <w:p>
      <w:pPr>
        <w:spacing w:after="120"/>
      </w:pPr>
      <w:r>
        <w:rPr>
          <w:rFonts w:ascii="Arial" w:cs="Arial" w:eastAsia="Arial" w:hAnsi="Arial"/>
          <w:b/>
          <w:bCs/>
          <w:i w:val="false"/>
          <w:iCs w:val="false"/>
          <w:sz w:val="22"/>
          <w:szCs w:val="22"/>
        </w:rPr>
        <w:t xml:space="preserve">6. Dependent field filtering:</w:t>
      </w:r>
      <w:r>
        <w:rPr>
          <w:rFonts w:ascii="Arial" w:cs="Arial" w:eastAsia="Arial" w:hAnsi="Arial"/>
          <w:b w:val="false"/>
          <w:bCs w:val="false"/>
          <w:i w:val="false"/>
          <w:iCs w:val="false"/>
          <w:sz w:val="22"/>
          <w:szCs w:val="22"/>
        </w:rPr>
        <w:t xml:space="preserve"> industrySubsector is a dependent field filtered by industrySector. The filter configuration maps each of the 20 NAICS sectors to its applicable subsectors. This requires dynamic logic or custom view configuration during YAML generation.</w:t>
      </w:r>
    </w:p>
    <w:p>
      <w:pPr>
        <w:spacing w:after="120"/>
      </w:pPr>
      <w:r>
        <w:rPr>
          <w:rFonts w:ascii="Arial" w:cs="Arial" w:eastAsia="Arial" w:hAnsi="Arial"/>
          <w:b/>
          <w:bCs/>
          <w:i w:val="false"/>
          <w:iCs w:val="false"/>
          <w:sz w:val="22"/>
          <w:szCs w:val="22"/>
        </w:rPr>
        <w:t xml:space="preserve">7. Multi-type accounts:</w:t>
      </w:r>
      <w:r>
        <w:rPr>
          <w:rFonts w:ascii="Arial" w:cs="Arial" w:eastAsia="Arial" w:hAnsi="Arial"/>
          <w:b w:val="false"/>
          <w:bCs w:val="false"/>
          <w:i w:val="false"/>
          <w:iCs w:val="false"/>
          <w:sz w:val="22"/>
          <w:szCs w:val="22"/>
        </w:rPr>
        <w:t xml:space="preserve"> Because accountType is multiEnum, an Account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8.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spacing w:after="120"/>
      </w:pPr>
      <w:r>
        <w:t xml:space="preserve">Native website field as Account matching signal. The native website field on Account is the primary signal for prospect-Contact-to-Account matching under the Universal Contact-Creation Rules formalized in the CR-MARKETING Sub-Domain Overview v1.1. When a Contact is created via any CR-MARKETING pathway (web inquiry form, list import, single-record creation) with a website value, the system normalizes the domain (lowercase, protocol stripped, leading www stripped) and looks for an existing Account with a matching normalized website. The website domain is the only signal trusted for automatic linking in the Account precedence ladder. Name-based matching is not performed during creation, because two unrelated firms can legitimately share a name and the system cannot distinguish them without the website signal — automatically linking a Contact to the wrong company is a confidentiality and data-integrity risk that outweighs the cleanup cost of occasional duplicate Accounts. The Client Recruiter handles any duplicate Accounts via routine data hygiene. No new website-related field is added; the existing native field carries this responsibility.</w:t>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CLOSED (v1.2): Resolved by the clientStatus field added to Section 3.2 (Client-Specific Fields) by the CR-MARKETING Sub-Domain Overview v1.0. The Account-level client lifecycle is now tracked via clientStatus, paired with Contact.prospectStatus on the Contact entity for the marketing-funnel state of individual people. The two fields answer different questions and cannot drift because they measure different things.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Account entity. The CR and FU domains have only summary-level data from legacy Domain PRDs. This Entity PRD will require updates when those domain process documents are completed under the new document production process. Additional type-specific custom fields, relationships, and dynamic logic rules are expected. Carried forward from EI-ISS-008.</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NAICS Industry Subsector values: the complete list of ~100 subsectors filtered by Industry Sector has not been defined. Must align with the NAICS classification system. Carried forward from MN-INTAKE-ISS-002.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Geographic Service Area field format: free text vs. controlled list of Northeast Ohio geographies has not been decided. Carried forward from CR-ISS-002. Superseded in scope by CR-MARKETING-ISS-001 (geographic targeting model deferred to stakeholder input). The two issues will be resolved jointly when stakeholder input on partner count, sub-county prevalence, master list maintenance, and required precision is available.</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manyToMany relationship middle table, not a field on either entity. A single Contact can be the primary contact for one Account but not for another. Cross-referenced from Contact Entity PRD CON-DEC-001.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assignedLiaison is a separate custom Partner-specific link field to Contact, not a reuse of the native assignedUser field. This allows dual-type accounts (e.g., Client + Partner) to have different staff assignments for different roles, and provides a clear UI label for partner relationship management.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parentOrganization is a shared field available to all account types, not Partner-specific. Organizational hierarchies (branches, chapters, subsidiaries, franchises) are a universal concept applicable across Client, Partner, and Donor/Sponsor organizations.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linkedInProfile is a shared url field on Account, mirroring the Contact entity pattern. The free-text socialMedia field from the CR domain is dropped in favor of a structured URL field.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Type-specific wysiwyg notes fields (clientNotes, partnerNotes, funderNotes) are used instead of the native description field for notes requiring rich text formatting. Each notes field has field-level security restricting access to the appropriate domain coordinator role. The native description field (plain text) remains available but is not the primary notes mechanism.</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primaryFunderContact (link from Account to Contact for fundraising communications) is dropped. The Primary Contact designation on the Contact-to-Account relationship (ACT-DEC-001) provides a single, unified primary contact mechanism for all account types.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uses the value Donor/Sponsor (matching the Entity Inventory and Master PRD) rather than Funder (used in the legacy FU Domain PRD). All three terms are treated as synonymous.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deferred to CR domain process definition (ACT-ISS-001). The MN domain manages lifecycle at the Engagement level. Whether a client-level account status is needed depends on CR domain requirements.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ACT-DEC-009</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the Account-level client-relationship lifecycle field, paired with Contact.prospectStatus on the Contact entity. The two fields answer different questions and cannot drift because they measure different things. clientStatus tracks the company's relationship with CBM; prospectStatus tracks an individual's marketing engagement. Multiple Contacts at the same Account share a single clientStatus without ambiguity.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ACT-DEC-010</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set to Prospect at Account creation when an Account is first created via a CR-MARKETING pathway with company information provided. It transitions to Applicant at MN-INTAKE when a linked Contact submits an application, or a new Account is created at Applicant if none existed (using existing pre-startup naming logic from MN-INTAKE-REQ-008).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ACT-DEC-011</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The native website field is the only signal trusted for automatic linking in the Account precedence ladder under the Universal Contact-Creation Rules. The ladder is two-step: (1) website domain match (normalized: lowercase, protocol stripped, leading www stripped), (2) manual or new — the system creates a new Account when no website match exists, with no name-based or fuzzy-match suggestions. Name-based linking is not performed because two unrelated firms can share a name; the Client Recruiter handles any duplicate Accounts via routine data hygiene. The native field is reused; no new website-related field is added. Source: CR-MARKETING Sub-Domain Overview v1.1.</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Account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Account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2026-04-02T05:05:46.633Z</dcterms:created>
  <dcterms:modified xsi:type="dcterms:W3CDTF">2026-04-02T05:05:46.633Z</dcterms:modified>
</cp:coreProperties>
</file>

<file path=docProps/custom.xml><?xml version="1.0" encoding="utf-8"?>
<Properties xmlns="http://schemas.openxmlformats.org/officeDocument/2006/custom-properties" xmlns:vt="http://schemas.openxmlformats.org/officeDocument/2006/docPropsVTypes"/>
</file>