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Mentoring (MN) Domain PRD</w:t>
      </w:r>
    </w:p>
    <w:p>
      <w:pPr>
        <w:pStyle w:val="Normal"/>
        <w:spacing w:before="0" w:after="400"/>
        <w:jc w:val="center"/>
        <w:rPr/>
      </w:pPr>
      <w:r>
        <w:rPr>
          <w:rFonts w:eastAsia="Arial" w:cs="Arial"/>
          <w:b w:val="false"/>
          <w:bCs w:val="false"/>
          <w:i w:val="false"/>
          <w:iCs w:val="false"/>
          <w:sz w:val="22"/>
          <w:szCs w:val="22"/>
        </w:rPr>
        <w:t>Domain PRD</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r>
              <w:t>1.1</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r>
              <w:t>05-05-26 11:06</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r>
              <w:t>Reconciled from MN-INTAKE v2.5, MN-MATCH v2.2, MN-ENGAGE v2.3, MN-INACTIVE v1.2, MN-CLOSE v1.1</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Processes</w:t>
            </w:r>
          </w:p>
        </w:tc>
        <w:tc>
          <w:tcPr>
            <w:tcW w:w="6960" w:type="dxa"/>
            <w:tcBorders>
              <w:top w:val="single" w:sz="2" w:space="0" w:color="AAAAAA"/>
              <w:left w:val="single" w:sz="2" w:space="0" w:color="AAAAAA"/>
              <w:bottom w:val="single" w:sz="2" w:space="0" w:color="AAAAAA"/>
              <w:right w:val="single" w:sz="2" w:space="0" w:color="AAAAAA"/>
            </w:tcBorders>
          </w:tcPr>
          <w:p>
            <w:r>
              <w:t>5 of 6 (MN-SURVEY deferred)</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Domain Overview</w:t>
      </w:r>
    </w:p>
    <w:p>
      <w:pPr>
        <w:pStyle w:val="Normal"/>
        <w:spacing w:before="0" w:after="120"/>
        <w:rPr/>
      </w:pPr>
      <w:r>
        <w:rPr>
          <w:rFonts w:eastAsia="Arial" w:cs="Arial"/>
          <w:b w:val="false"/>
          <w:bCs w:val="false"/>
          <w:i w:val="false"/>
          <w:iCs w:val="false"/>
          <w:sz w:val="22"/>
          <w:szCs w:val="22"/>
        </w:rPr>
        <w:t>The Mentoring domain covers the complete lifecycle of a mentoring engagement — from a client’s initial request for mentoring services through mentor assignment, active mentoring delivery, and formal closure. It is the core program delivery function of the organization and the primary reason the organization exists.</w:t>
      </w:r>
    </w:p>
    <w:p>
      <w:pPr>
        <w:pStyle w:val="Normal"/>
        <w:spacing w:before="0" w:after="120"/>
        <w:rPr/>
      </w:pPr>
      <w:r>
        <w:rPr>
          <w:rFonts w:eastAsia="Arial" w:cs="Arial"/>
          <w:b w:val="false"/>
          <w:bCs w:val="false"/>
          <w:i w:val="false"/>
          <w:iCs w:val="false"/>
          <w:sz w:val="22"/>
          <w:szCs w:val="22"/>
        </w:rPr>
        <w:t>The domain encompasses five defined business processes that together manage: the intake and screening of prospective clients, the matching of approved clients with qualified volunteer mentors, the ongoing management of active mentoring relationships including session scheduling and recording, the continuous monitoring of engagement activity levels to detect and address stalling relationships, and the formal closure of completed or terminated engagements with outcome documentation.</w:t>
      </w:r>
    </w:p>
    <w:p>
      <w:pPr>
        <w:pStyle w:val="Normal"/>
        <w:spacing w:before="0" w:after="120"/>
        <w:rPr/>
      </w:pPr>
      <w:r>
        <w:rPr>
          <w:rFonts w:eastAsia="Arial" w:cs="Arial"/>
          <w:b w:val="false"/>
          <w:bCs w:val="false"/>
          <w:i w:val="false"/>
          <w:iCs w:val="false"/>
          <w:sz w:val="22"/>
          <w:szCs w:val="22"/>
        </w:rPr>
        <w:t>The Mentoring domain interfaces with the Mentor Recruitment domain (MR), which owns the mentor lifecycle — from application through onboarding, activation, and departure. Mentor Contact fields referenced during matching and engagement are defined by the MR domain and used here as read-only process data. The Client Satisfaction Tracking process (MN-SURVEY) is defined in the Master PRD as an Enhancement-tier process and will be addressed in a future phase; it is not included in this Domain PRD.</w:t>
      </w:r>
    </w:p>
    <w:p>
      <w:pPr>
        <w:pStyle w:val="Normal"/>
        <w:spacing w:before="0" w:after="120"/>
        <w:rPr/>
      </w:pPr>
      <w:r>
        <w:rPr>
          <w:rFonts w:eastAsia="Arial" w:cs="Arial"/>
          <w:b w:val="false"/>
          <w:bCs w:val="false"/>
          <w:i w:val="false"/>
          <w:iCs w:val="false"/>
          <w:sz w:val="22"/>
          <w:szCs w:val="22"/>
        </w:rPr>
        <w:t>The domain supports the organization’s Year 1 operating targets of 25–30 volunteer mentors and 100–200 clients served, with a single technology-capable administrator managing the platform.</w:t>
      </w:r>
    </w:p>
    <w:p>
      <w:pPr>
        <w:pStyle w:val="Normal"/>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010025" cy="38195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010025" cy="3819525"/>
                    </a:xfrm>
                    <a:prstGeom prst="rect">
                      <a:avLst/>
                    </a:prstGeom>
                  </pic:spPr>
                </pic:pic>
              </a:graphicData>
            </a:graphic>
          </wp:anchor>
        </w:drawing>
      </w:r>
      <w:r>
        <w:br w:type="page"/>
      </w:r>
    </w:p>
    <w:p>
      <w:pPr>
        <w:pStyle w:val="Heading1"/>
        <w:spacing w:before="0" w:after="120"/>
        <w:rPr/>
      </w:pPr>
      <w:r>
        <w:rPr>
          <w:rFonts w:eastAsia="Arial" w:cs="Arial" w:ascii="Arial" w:hAnsi="Arial"/>
          <w:b/>
          <w:bCs/>
          <w:i w:val="false"/>
          <w:iCs w:val="false"/>
          <w:sz w:val="32"/>
          <w:szCs w:val="32"/>
        </w:rPr>
        <w:t>2. Personas</w:t>
      </w:r>
    </w:p>
    <w:p>
      <w:pPr>
        <w:pStyle w:val="Normal"/>
        <w:spacing w:before="0" w:after="120"/>
        <w:rPr/>
      </w:pPr>
      <w:r>
        <w:rPr>
          <w:rFonts w:eastAsia="Arial" w:cs="Arial"/>
          <w:b w:val="false"/>
          <w:bCs w:val="false"/>
          <w:i w:val="false"/>
          <w:iCs w:val="false"/>
          <w:sz w:val="22"/>
          <w:szCs w:val="22"/>
        </w:rPr>
        <w:t>The following personas participate in one or more Mentoring domain processes. Each persona is defined in the Master PRD; this section describes their domain-specific roles.</w:t>
      </w:r>
    </w:p>
    <w:p>
      <w:pPr>
        <w:pStyle w:val="Normal"/>
        <w:spacing w:before="0" w:after="120"/>
        <w:rPr/>
      </w:pPr>
      <w:r>
        <w:rPr/>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mentoring requests, participates in sessions, receives meeting requests and session summaries, and provides feedback through surveys. Participates in: Client Intake (MN-INTAKE), Engagement Management (MN-ENGAGE), Engagement Closure (MN-CLOSE).</w:t>
      </w:r>
    </w:p>
    <w:p>
      <w:pPr>
        <w:pStyle w:val="Normal"/>
        <w:spacing w:before="0" w:after="120"/>
        <w:rPr/>
      </w:pPr>
      <w:r>
        <w:rPr/>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and processes client applications during intake, monitors engagement activity as a passive observer during active engagements, receives inactivity notifications, and may initiate engagement closure in exceptional circumstances such as mentor incapacitation. Has full authority to override any status transition. Participates in: Client Intake (MN-INTAKE), Engagement Management (MN-ENGAGE), Activity Monitoring (MN-INACTIVE), Engagement Closure (MN-CLOSE).</w:t>
      </w:r>
    </w:p>
    <w:p>
      <w:pPr>
        <w:pStyle w:val="Normal"/>
        <w:spacing w:before="0" w:after="120"/>
        <w:rPr/>
      </w:pPr>
      <w:r>
        <w:rPr/>
      </w:r>
    </w:p>
    <w:p>
      <w:pPr>
        <w:pStyle w:val="Normal"/>
        <w:spacing w:before="0" w:after="40"/>
        <w:rPr/>
      </w:pPr>
      <w:r>
        <w:rPr>
          <w:rFonts w:eastAsia="Arial" w:cs="Arial"/>
          <w:b/>
          <w:bCs/>
          <w:i w:val="false"/>
          <w:iCs w:val="false"/>
          <w:sz w:val="22"/>
          <w:szCs w:val="22"/>
        </w:rPr>
        <w:t>Client Assignment Coordinator (MST-PER-004)</w:t>
      </w:r>
    </w:p>
    <w:p>
      <w:pPr>
        <w:pStyle w:val="Normal"/>
        <w:spacing w:before="0" w:after="120"/>
        <w:rPr/>
      </w:pPr>
      <w:r>
        <w:rPr>
          <w:rFonts w:eastAsia="Arial" w:cs="Arial"/>
          <w:b w:val="false"/>
          <w:bCs w:val="false"/>
          <w:i w:val="false"/>
          <w:iCs w:val="false"/>
          <w:sz w:val="22"/>
          <w:szCs w:val="22"/>
        </w:rPr>
        <w:t>Searches the mentor roster, evaluates candidates against client needs, nominates primary mentors, and manages the acceptance workflow. Participates in: Mentor Matching (MN-MATCH).</w:t>
      </w:r>
    </w:p>
    <w:p>
      <w:pPr>
        <w:pStyle w:val="Normal"/>
        <w:spacing w:before="0" w:after="120"/>
        <w:rPr/>
      </w:pPr>
      <w:r>
        <w:rPr/>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Provides mentor availability and capacity information to support matching. Has access to filtered views and the Engagement Health dashboard for monitoring engagement trends across mentors. Does not receive automated notifications from the Activity Monitoring process. Participates in: Mentor Matching (MN-MATCH), Activity Monitoring (MN-INACTIVE).</w:t>
      </w:r>
    </w:p>
    <w:p>
      <w:pPr>
        <w:pStyle w:val="Normal"/>
        <w:spacing w:before="0" w:after="120"/>
        <w:rPr/>
      </w:pPr>
      <w:r>
        <w:rPr/>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Receives and accepts or declines engagement assignments. Schedules and records sessions, sets meeting cadence, assigns additional mentors, reviews and sends session summaries, places engagements on hold, and initiates closure. The primary actor throughout the active engagement lifecycle. Participates in: Mentor Matching (MN-MATCH), Engagement Management (MN-ENGAGE), Activity Monitoring (MN-INACTIVE), Engagement Closure (MN-CLOSE).</w:t>
      </w:r>
    </w:p>
    <w:p>
      <w:pPr>
        <w:pStyle w:val="Normal"/>
        <w:spacing w:before="0" w:after="120"/>
        <w:rPr/>
      </w:pPr>
      <w:r>
        <w:rPr/>
      </w:r>
    </w:p>
    <w:p>
      <w:pPr>
        <w:pStyle w:val="Normal"/>
        <w:spacing w:before="0" w:after="40"/>
        <w:rPr/>
      </w:pPr>
      <w:r>
        <w:rPr>
          <w:rFonts w:eastAsia="Arial" w:cs="Arial"/>
          <w:b/>
          <w:bCs/>
          <w:i w:val="false"/>
          <w:iCs w:val="false"/>
          <w:sz w:val="22"/>
          <w:szCs w:val="22"/>
        </w:rPr>
        <w:t>Executive Member (MST-PER-002)</w:t>
      </w:r>
    </w:p>
    <w:p>
      <w:pPr>
        <w:pStyle w:val="Normal"/>
        <w:spacing w:before="0" w:after="120"/>
        <w:rPr/>
      </w:pPr>
      <w:r>
        <w:rPr>
          <w:rFonts w:eastAsia="Arial" w:cs="Arial"/>
          <w:b w:val="false"/>
          <w:bCs w:val="false"/>
          <w:i w:val="false"/>
          <w:iCs w:val="false"/>
          <w:sz w:val="22"/>
          <w:szCs w:val="22"/>
        </w:rPr>
        <w:t>Has access to the Engagement Health dashboard for organizational health monitoring. Views aggregate engagement pipeline status counts. Does not receive automated notifications and does not participate in individual engagement interventions. Participates in: Activity Monitoring (MN-INACTIVE).</w:t>
      </w:r>
    </w:p>
    <w:p>
      <w:pPr>
        <w:pStyle w:val="Normal"/>
        <w:rPr/>
      </w:pPr>
      <w:r>
        <w:rPr/>
      </w:r>
      <w:r>
        <w:br w:type="page"/>
      </w:r>
    </w:p>
    <w:p>
      <w:pPr>
        <w:pStyle w:val="Heading1"/>
        <w:spacing w:before="0" w:after="120"/>
        <w:rPr/>
      </w:pPr>
      <w:r>
        <w:rPr>
          <w:rFonts w:eastAsia="Arial" w:cs="Arial" w:ascii="Arial" w:hAnsi="Arial"/>
          <w:b/>
          <w:bCs/>
          <w:i w:val="false"/>
          <w:iCs w:val="false"/>
          <w:sz w:val="32"/>
          <w:szCs w:val="32"/>
        </w:rPr>
        <w:t>3. Business Processes</w:t>
      </w:r>
    </w:p>
    <w:p>
      <w:pPr>
        <w:pStyle w:val="Normal"/>
        <w:spacing w:before="0" w:after="120"/>
        <w:rPr/>
      </w:pPr>
      <w:r>
        <w:rPr>
          <w:rFonts w:eastAsia="Arial" w:cs="Arial"/>
          <w:b w:val="false"/>
          <w:bCs w:val="false"/>
          <w:i w:val="false"/>
          <w:iCs w:val="false"/>
          <w:sz w:val="22"/>
          <w:szCs w:val="22"/>
        </w:rPr>
        <w:t>Processes are listed in dependency order. Each process includes all eight required sections per the reconciliation guide v1.1. The sixth Mentoring domain process, Client Satisfaction Tracking (MN-SURVEY), is an Enhancement-tier future addition and is not included.</w:t>
      </w:r>
    </w:p>
    <w:p>
      <w:pPr>
        <w:pStyle w:val="Heading2"/>
        <w:spacing w:before="240" w:after="120"/>
        <w:rPr/>
      </w:pPr>
      <w:r>
        <w:rPr>
          <w:rFonts w:eastAsia="Arial" w:cs="Arial" w:ascii="Arial" w:hAnsi="Arial"/>
          <w:b/>
          <w:bCs/>
          <w:i w:val="false"/>
          <w:iCs w:val="false"/>
          <w:sz w:val="28"/>
          <w:szCs w:val="28"/>
        </w:rPr>
        <w:t>3.1 Client Intake (MN-INTAKE)</w:t>
      </w:r>
    </w:p>
    <w:p>
      <w:pPr>
        <w:pStyle w:val="Normal"/>
        <w:spacing w:before="0" w:after="200"/>
        <w:rPr/>
      </w:pPr>
      <w:r>
        <w:rPr>
          <w:rFonts w:eastAsia="Arial" w:cs="Arial"/>
          <w:b w:val="false"/>
          <w:bCs w:val="false"/>
          <w:i/>
          <w:iCs/>
          <w:color w:val="888888"/>
          <w:sz w:val="22"/>
          <w:szCs w:val="22"/>
        </w:rPr>
        <w:t>Tier: Core | Version: 2.5 | Last Updated: 05-05-26 05:24</w:t>
      </w:r>
    </w:p>
    <w:p>
      <w:pPr>
        <w:pStyle w:val="Heading3"/>
        <w:spacing w:before="240" w:after="120"/>
        <w:rPr/>
      </w:pPr>
      <w:r>
        <w:rPr>
          <w:rFonts w:eastAsia="Arial" w:cs="Arial" w:ascii="Arial" w:hAnsi="Arial"/>
          <w:b/>
          <w:bCs/>
          <w:i w:val="false"/>
          <w:iCs w:val="false"/>
          <w:sz w:val="24"/>
          <w:szCs w:val="24"/>
        </w:rPr>
        <w:t>Process Purpose</w:t>
      </w:r>
    </w:p>
    <w:p>
      <w:pPr>
        <w:pStyle w:val="Normal"/>
        <w:spacing w:before="0" w:after="120"/>
        <w:rPr/>
      </w:pPr>
      <w:r>
        <w:rPr>
          <w:rFonts w:eastAsia="Arial" w:cs="Arial"/>
          <w:b w:val="false"/>
          <w:bCs w:val="false"/>
          <w:i w:val="false"/>
          <w:iCs w:val="false"/>
          <w:sz w:val="22"/>
          <w:szCs w:val="22"/>
        </w:rPr>
        <w:t>The Client Intake process captures the information needed to assess a prospective client’s eligibility for the mentoring program and to identify an appropriate mentor. It routes the application to the Client Administrator for review and disposition.</w:t>
      </w:r>
    </w:p>
    <w:p>
      <w:pPr>
        <w:pStyle w:val="Normal"/>
        <w:spacing w:before="0" w:after="120"/>
        <w:rPr/>
      </w:pPr>
      <w:r>
        <w:rPr>
          <w:rFonts w:eastAsia="Arial" w:cs="Arial"/>
          <w:b w:val="false"/>
          <w:bCs w:val="false"/>
          <w:i w:val="false"/>
          <w:iCs w:val="false"/>
          <w:sz w:val="22"/>
          <w:szCs w:val="22"/>
        </w:rPr>
        <w:t>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3"/>
        <w:spacing w:before="240" w:after="120"/>
        <w:rPr/>
      </w:pPr>
      <w:r>
        <w:rPr>
          <w:rFonts w:eastAsia="Arial" w:cs="Arial" w:ascii="Arial" w:hAnsi="Arial"/>
          <w:b/>
          <w:bCs/>
          <w:i w:val="false"/>
          <w:iCs w:val="false"/>
          <w:sz w:val="24"/>
          <w:szCs w:val="24"/>
        </w:rPr>
        <w:t>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None. Client Intake (MN-INTAKE) is the first process in the Mentoring lifecycle. There are no prior processes that must complete and no records that must exist before intake can begin.</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None. The intake form itself provides all data needed to create the initial records. No pre-existing data in the system is required.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External form submission. A prospective client completes and submits the Phase 1 Mentoring Request form on the organization’s public website.</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(MST-PER-013). No special authority or system role is required — the form is publicly accessible.</w:t>
      </w:r>
    </w:p>
    <w:p>
      <w:pPr>
        <w:pStyle w:val="Heading3"/>
        <w:spacing w:before="240" w:after="120"/>
        <w:rPr/>
      </w:pPr>
      <w:r>
        <w:rPr>
          <w:rFonts w:eastAsia="Arial" w:cs="Arial" w:ascii="Arial" w:hAnsi="Arial"/>
          <w:b/>
          <w:bCs/>
          <w:i w:val="false"/>
          <w:iCs w:val="false"/>
          <w:sz w:val="24"/>
          <w:szCs w:val="24"/>
        </w:rPr>
        <w:t>Personas Involved</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the mentoring request through the public website. Provides business information, contact details, and a description of mentoring needs.</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submitted applications for completeness and basic eligibility. Approves or declines applications and communicates decisions to applicants directly.</w:t>
      </w:r>
    </w:p>
    <w:p>
      <w:pPr>
        <w:pStyle w:val="Heading3"/>
        <w:spacing w:before="240" w:after="120"/>
        <w:rPr/>
      </w:pPr>
      <w:r>
        <w:rPr>
          <w:rFonts w:eastAsia="Arial" w:cs="Arial" w:ascii="Arial" w:hAnsi="Arial"/>
          <w:b/>
          <w:bCs/>
          <w:i w:val="false"/>
          <w:iCs w:val="false"/>
          <w:sz w:val="24"/>
          <w:szCs w:val="24"/>
        </w:rPr>
        <w:t>Process Workflow</w:t>
      </w:r>
    </w:p>
    <w:p>
      <w:pPr>
        <w:pStyle w:val="ListParagraph"/>
        <w:numPr>
          <w:ilvl w:val="0"/>
          <w:numId w:val="7"/>
        </w:numPr>
        <w:spacing w:before="0" w:after="80"/>
        <w:rPr/>
      </w:pPr>
      <w:r>
        <w:rPr>
          <w:rFonts w:eastAsia="Arial" w:cs="Arial"/>
          <w:b w:val="false"/>
          <w:bCs w:val="false"/>
          <w:i w:val="false"/>
          <w:iCs w:val="false"/>
          <w:sz w:val="22"/>
          <w:szCs w:val="22"/>
        </w:rPr>
        <w:t>The prospective client completes and submits the Phase 1 Mentoring Request form on the organization’s public website. The form optionally allows the client to review available mentor profiles and select a preferred mentor.</w:t>
      </w:r>
    </w:p>
    <w:p>
      <w:pPr>
        <w:pStyle w:val="ListParagraph"/>
        <w:numPr>
          <w:ilvl w:val="0"/>
          <w:numId w:val="1"/>
        </w:numPr>
        <w:spacing w:before="0" w:after="80"/>
        <w:rPr/>
      </w:pPr>
      <w:r>
        <w:rPr>
          <w:rFonts w:eastAsia="Arial" w:cs="Arial"/>
          <w:b w:val="false"/>
          <w:bCs w:val="false"/>
          <w:i w:val="false"/>
          <w:iCs w:val="false"/>
          <w:sz w:val="22"/>
          <w:szCs w:val="22"/>
        </w:rPr>
        <w:t>Before creating a new Contact, the system checks whether the submitting individual already exists as a Contact in the CRM (matched by email address). If a matching Contact exists — typically because the individual was created earlier as a marketing prospect via CR-MARKETING — the system reuses that Contact and links it to the application rather than creating a duplicate.</w:t>
      </w:r>
    </w:p>
    <w:p>
      <w:pPr>
        <w:pStyle w:val="ListParagraph"/>
        <w:numPr>
          <w:ilvl w:val="0"/>
          <w:numId w:val="1"/>
        </w:numPr>
        <w:spacing w:before="0" w:after="80"/>
        <w:rPr/>
      </w:pPr>
      <w:r>
        <w:rPr>
          <w:rFonts w:eastAsia="Arial" w:cs="Arial"/>
          <w:b w:val="false"/>
          <w:bCs w:val="false"/>
          <w:i w:val="false"/>
          <w:iCs w:val="false"/>
          <w:sz w:val="22"/>
          <w:szCs w:val="22"/>
        </w:rPr>
        <w:t>The system automatically creates the linked records: a Client Organization record (the business; if no Business Name was provided, the name is derived as “{First Name} {Last Name} (Pre-Startup)”), the Client Contact (newly created or matched per the deduplication step), and an Engagement record linked to both. The submitting Contact is automatically assigned as both the Primary Engagement Contact and as a member of Engagement Contacts. Engagement Status is set to Submitted.</w:t>
      </w:r>
    </w:p>
    <w:p>
      <w:pPr>
        <w:pStyle w:val="ListParagraph"/>
        <w:numPr>
          <w:ilvl w:val="0"/>
          <w:numId w:val="1"/>
        </w:numPr>
        <w:spacing w:before="0" w:after="80"/>
        <w:rPr/>
      </w:pPr>
      <w:r>
        <w:rPr>
          <w:rFonts w:eastAsia="Arial" w:cs="Arial"/>
          <w:b w:val="false"/>
          <w:bCs w:val="false"/>
          <w:i w:val="false"/>
          <w:iCs w:val="false"/>
          <w:sz w:val="22"/>
          <w:szCs w:val="22"/>
        </w:rPr>
        <w:t>When the application is processed and the Account is associated with the application, the system sets Account.clientStatus to Applicant and populates Account.applicantSinceTimestamp with the current datetime if currently null (records first transition only).</w:t>
      </w:r>
    </w:p>
    <w:p>
      <w:pPr>
        <w:pStyle w:val="ListParagraph"/>
        <w:numPr>
          <w:ilvl w:val="0"/>
          <w:numId w:val="1"/>
        </w:numPr>
        <w:spacing w:before="0" w:after="80"/>
        <w:rPr/>
      </w:pPr>
      <w:r>
        <w:rPr>
          <w:rFonts w:eastAsia="Arial" w:cs="Arial"/>
          <w:b w:val="false"/>
          <w:bCs w:val="false"/>
          <w:i w:val="false"/>
          <w:iCs w:val="false"/>
          <w:sz w:val="22"/>
          <w:szCs w:val="22"/>
        </w:rPr>
        <w:t>The system transitions the applicant Contact’s prospectStatus to Converted (the terminal state of the marketing-funnel lifecycle). Other prospect Contacts at the same Account are not automatically converted — each individual person retains their own funnel state.</w:t>
      </w:r>
    </w:p>
    <w:p>
      <w:pPr>
        <w:pStyle w:val="ListParagraph"/>
        <w:numPr>
          <w:ilvl w:val="0"/>
          <w:numId w:val="1"/>
        </w:numPr>
        <w:spacing w:before="0" w:after="80"/>
        <w:rPr/>
      </w:pPr>
      <w:r>
        <w:rPr>
          <w:rFonts w:eastAsia="Arial" w:cs="Arial"/>
          <w:b w:val="false"/>
          <w:bCs w:val="false"/>
          <w:i w:val="false"/>
          <w:iCs w:val="false"/>
          <w:sz w:val="22"/>
          <w:szCs w:val="22"/>
        </w:rPr>
        <w:t>For howDidYouHearAboutCbm: the self-reported value from the application form is written to the Contact only if the field is currently blank (CR-MARKETING-owned attribution data has higher authority than self-report). The full self-reported value is always appended to Contact.sourceAttributionDetails as an audit trail entry, regardless of whether the primary field was overwritten.</w:t>
      </w:r>
    </w:p>
    <w:p>
      <w:pPr>
        <w:pStyle w:val="ListParagraph"/>
        <w:spacing w:before="0" w:after="120"/>
        <w:rPr/>
      </w:pPr>
      <w:r>
        <w:rPr>
          <w:rFonts w:eastAsia="Arial" w:cs="Arial"/>
          <w:b w:val="false"/>
          <w:bCs w:val="false"/>
          <w:i/>
          <w:iCs/>
          <w:sz w:val="22"/>
          <w:szCs w:val="22"/>
        </w:rPr>
        <w:t>The Client Administrator receives an automatic notification of the new submission.</w:t>
      </w:r>
    </w:p>
    <w:p>
      <w:pPr>
        <w:pStyle w:val="ListParagraph"/>
      </w:pPr>
      <w:r>
        <w:t xml:space="preserve">The Client Administrator reviews the submission for completeness and basic eligibility against the organization’s program criteria.</w:t>
      </w:r>
    </w:p>
    <w:p>
      <w:pPr>
        <w:pStyle w:val="ListParagraph"/>
      </w:pPr>
      <w:r>
        <w:t xml:space="preserve">If eligible, the application proceeds to the Mentor Matching process (MN-MATCH).</w:t>
      </w:r>
    </w:p>
    <w:p>
      <w:pPr>
        <w:pStyle w:val="ListParagraph"/>
      </w:pPr>
      <w:r>
        <w:t xml:space="preserve">If not eligible, the Client Administrator updates the Engagement status to Declined, records the reason, and notifies the applicant directly. No automated notification is sent. The Client Organization and Contact records are retained permanently.</w:t>
      </w:r>
    </w:p>
    <w:p>
      <w:pPr>
        <w:pStyle w:val="Normal"/>
      </w:pPr>
      <w:r>
        <w:t xml:space="preserve">A structured eligibility screening workflow may be defined by organizational leadership in a future revision. The current process assumes a basic administrative review.</w:t>
      </w:r>
    </w:p>
    <w:p>
      <w:pPr>
        <w:pStyle w:val="Heading3"/>
        <w:spacing w:before="240" w:after="120"/>
        <w:rPr/>
      </w:pPr>
      <w:r>
        <w:rPr>
          <w:rFonts w:eastAsia="Arial" w:cs="Arial" w:ascii="Arial" w:hAnsi="Arial"/>
          <w:b/>
          <w:bCs/>
          <w:i w:val="false"/>
          <w:iCs w:val="false"/>
          <w:sz w:val="24"/>
          <w:szCs w:val="24"/>
        </w:rPr>
        <w:t>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Client Administrator approves the application. The Engagement status advances beyond Submitted (the next process, Mentor Matching, takes ownership of further status transitions). The application proceeds to Mentor Matching (MN-MATCH).</w:t>
      </w:r>
    </w:p>
    <w:p>
      <w:pPr>
        <w:pStyle w:val="Normal"/>
        <w:spacing w:before="0" w:after="40"/>
        <w:rPr/>
      </w:pPr>
      <w:r>
        <w:rPr>
          <w:rFonts w:eastAsia="Arial" w:cs="Arial"/>
          <w:b/>
          <w:bCs/>
          <w:i w:val="false"/>
          <w:iCs w:val="false"/>
          <w:sz w:val="22"/>
          <w:szCs w:val="22"/>
        </w:rPr>
        <w:t>Alternative End State: Declined</w:t>
      </w:r>
    </w:p>
    <w:p>
      <w:pPr>
        <w:pStyle w:val="Normal"/>
        <w:spacing w:before="0" w:after="120"/>
        <w:rPr/>
      </w:pPr>
      <w:r>
        <w:rPr>
          <w:rFonts w:eastAsia="Arial" w:cs="Arial"/>
          <w:b w:val="false"/>
          <w:bCs w:val="false"/>
          <w:i w:val="false"/>
          <w:iCs w:val="false"/>
          <w:sz w:val="22"/>
          <w:szCs w:val="22"/>
        </w:rPr>
        <w:t>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records created during intake (Client Organization, Client Contact, Engagement) are retained permanently regardless of outcome. Declined applications remain in the system for reporting and historical reference.</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Approved applications proceed to Mentor Matching (MN-MATCH). The Mentor Matching process requires the Client Organization, Client Contact, and Engagement records created by this process as its input.</w:t>
      </w:r>
    </w:p>
    <w:p>
      <w:pPr>
        <w:pStyle w:val="Heading3"/>
        <w:spacing w:before="240" w:after="120"/>
        <w:rPr/>
      </w:pPr>
      <w:r>
        <w:rPr>
          <w:rFonts w:eastAsia="Arial" w:cs="Arial" w:ascii="Arial" w:hAnsi="Arial"/>
          <w:b/>
          <w:bCs/>
          <w:i w:val="false"/>
          <w:iCs w:val="false"/>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client mentoring requests submitted through the public website and create linked Client Organization, Client Contact, and Engagement records automatically.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submitting individual must be automatically flagged as the Primary Contact on the new Client Organization record.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notify the Client Administrator immediately upon receipt of a new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submissions must appear in a dedicated Submitted Applications view accessible to the Client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a decline reason when an application is rejected.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Organization and Contact records must be retained permanently regardless of Engagement outcome.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assign the submitting contact as the Primary Engagement Contact and as an Engagement Contact on the new Engagement record when it is created.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MN-INTAKE-REQ-008</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When the intake form is submitted without a Business Name, the system must create the Client Organization record with a derived name in the format “{First Name} {Last Name} (Pre-Startup)”. The name is updated by the assigned mentor when the actual business name is established.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MN-INTAKE-REQ-009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The intake form must allow the client to optionally select a preferred mentor from available mentor profiles. The selection is recorded as a preference on the Engagement record (Requested Mentor / MN-INTAKE-DAT-026) and reviewed during Mentor Matching (MN-MATCH-REQ-009). The Client Assignment Coordinator is not obligated to honor the request.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MN-INTAKE-REQ-010</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When a client mentoring application is submitted, the system must check whether the submitting individual already exists as a Contact (matched by email address) before creating a new Contact record. If a matching Contact exists — typically because the individual was created earlier as a marketing prospect via CR-MARKETING — the system reuses that Contact rather than creating a duplicate. Pairs with MN-MC-AA-017.</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MN-INTAKE-REQ-011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When the application is processed and an Account is associated with the application — either by linking to an existing Account or by creating a new Account using the pre-startup naming logic from MN-INTAKE-REQ-008 — the system must set Account.clientStatus to Applicant and populate Account.applicantSinceTimestamp (MN-INTAKE-DAT-027) with the current datetime if the field is currently null. Pairs with MN-MC-AA-018 and CR-MC-AA-003.</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MN-INTAKE-REQ-012</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When the application is processed, the system must transition the applicant Contact’s prospectStatus to Converted (the terminal state of the marketing-funnel lifecycle). Other prospect Contacts at the same Account are not automatically converted — each individual person retains their own funnel state. Pairs with MN-MC-AA-019.</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MN-INTAKE-REQ-013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When the applicant fills out the application form and selects a value for howDidYouHearAboutCbm, the system must write the self-reported value to the Contact’s howDidYouHearAboutCbm field only if the field is currently blank (CR-MARKETING-owned attribution data has higher authority than self-report). The full self-reported value is always appended to Contact.sourceAttributionDetails as an audit trail entry, regardless of whether the primary field was overwritten. Pairs with MN-MC-AA-020 and CR-MC-AA-017.</w:t>
            </w:r>
          </w:p>
        </w:tc>
      </w:tr>
    </w:tbl>
    <w:p>
      <w:pPr>
        <w:pStyle w:val="Heading3"/>
        <w:spacing w:before="240" w:after="120"/>
        <w:rPr/>
      </w:pPr>
      <w:r>
        <w:rPr>
          <w:rFonts w:eastAsia="Arial" w:cs="Arial" w:ascii="Arial" w:hAnsi="Arial"/>
          <w:b/>
          <w:bCs/>
          <w:i w:val="false"/>
          <w:iCs w:val="false"/>
          <w:sz w:val="24"/>
          <w:szCs w:val="24"/>
        </w:rPr>
        <w:t>Process Data</w:t>
      </w:r>
    </w:p>
    <w:p>
      <w:pPr>
        <w:pStyle w:val="Normal"/>
        <w:spacing w:before="0" w:after="120"/>
        <w:rPr/>
      </w:pPr>
      <w:r>
        <w:rPr>
          <w:rFonts w:eastAsia="Arial" w:cs="Arial"/>
          <w:b w:val="false"/>
          <w:bCs w:val="false"/>
          <w:i w:val="false"/>
          <w:iCs w:val="false"/>
          <w:sz w:val="22"/>
          <w:szCs w:val="22"/>
        </w:rPr>
        <w:t>The Client Intake process does not reference pre-existing data. It is the first process in the Mentoring lifecycle and creates all of its own records from the submitted intake form.</w:t>
      </w:r>
    </w:p>
    <w:p>
      <w:pPr>
        <w:pStyle w:val="Heading3"/>
        <w:spacing w:before="240" w:after="120"/>
        <w:rPr/>
      </w:pPr>
      <w:r>
        <w:rPr>
          <w:rFonts w:eastAsia="Arial" w:cs="Arial" w:ascii="Arial" w:hAnsi="Arial"/>
          <w:b/>
          <w:bCs/>
          <w:i w:val="false"/>
          <w:iCs w:val="false"/>
          <w:sz w:val="24"/>
          <w:szCs w:val="24"/>
        </w:rPr>
        <w:t>Data Collected</w:t>
      </w:r>
    </w:p>
    <w:p>
      <w:pPr>
        <w:pStyle w:val="Normal"/>
        <w:spacing w:before="0" w:after="120"/>
        <w:rPr/>
      </w:pPr>
      <w:r>
        <w:rPr>
          <w:rFonts w:eastAsia="Arial" w:cs="Arial"/>
          <w:b w:val="false"/>
          <w:bCs w:val="false"/>
          <w:i w:val="false"/>
          <w:iCs w:val="false"/>
          <w:sz w:val="22"/>
          <w:szCs w:val="22"/>
        </w:rPr>
        <w:t>This process creates the following records and fields. See Section 4 (Data Reference) for full field-level detail.</w:t>
      </w:r>
    </w:p>
    <w:p>
      <w:pPr>
        <w:pStyle w:val="Normal"/>
        <w:spacing w:before="0" w:after="120"/>
        <w:rPr/>
      </w:pPr>
      <w:r>
        <w:rPr>
          <w:rFonts w:eastAsia="Arial" w:cs="Arial"/>
          <w:b w:val="false"/>
          <w:bCs w:val="false"/>
          <w:i w:val="false"/>
          <w:iCs w:val="false"/>
          <w:sz w:val="22"/>
          <w:szCs w:val="22"/>
        </w:rPr>
        <w:t>Client Organization: Business Name (MN-INTAKE-DAT-001), Website (DAT-002), Address (DAT-003), Organization Type (DAT-004), Business Stage (DAT-005), Industry Sector (DAT-006), Industry Subsector (DAT-007), Applicant Since Timestamp (MN-INTAKE-DAT-027 — system-populated, first-transition only).</w:t>
      </w:r>
    </w:p>
    <w:p>
      <w:pPr>
        <w:pStyle w:val="Normal"/>
        <w:spacing w:before="0" w:after="120"/>
        <w:rPr/>
      </w:pPr>
      <w:r>
        <w:rPr>
          <w:rFonts w:eastAsia="Arial" w:cs="Arial"/>
          <w:b w:val="false"/>
          <w:bCs w:val="false"/>
          <w:i w:val="false"/>
          <w:iCs w:val="false"/>
          <w:sz w:val="22"/>
          <w:szCs w:val="22"/>
        </w:rPr>
        <w:t>Client Contact: First Name (MN-INTAKE-DAT-008), Last Name (DAT-009), Middle Name (DAT-010), Preferred Name (DAT-011), Email (DAT-012), Phone (DAT-013), Zip Code (DAT-014), LinkedIn Profile (DAT-015), Primary Contact (DAT-016).</w:t>
      </w:r>
    </w:p>
    <w:p>
      <w:pPr>
        <w:pStyle w:val="Normal"/>
        <w:spacing w:before="0" w:after="120"/>
        <w:rPr/>
      </w:pPr>
      <w:r>
        <w:rPr>
          <w:rFonts w:eastAsia="Arial" w:cs="Arial"/>
          <w:b w:val="false"/>
          <w:bCs w:val="false"/>
          <w:i w:val="false"/>
          <w:iCs w:val="false"/>
          <w:sz w:val="22"/>
          <w:szCs w:val="22"/>
        </w:rPr>
        <w:t>Engagement: Status (MN-INTAKE-DAT-017), Mentoring Focus Areas (DAT-018), Mentoring Needs Description (DAT-019), Primary Engagement Contact (DAT-020), Requested Mentor (MN-INTAKE-DAT-026 — optional, client-selected preferred mentor).</w:t>
      </w:r>
    </w:p>
    <w:p>
      <w:pPr>
        <w:pStyle w:val="Normal"/>
        <w:rPr/>
      </w:pPr>
      <w:r>
        <w:rPr/>
      </w:r>
      <w:r>
        <w:br w:type="page"/>
      </w:r>
    </w:p>
    <w:p>
      <w:pPr>
        <w:pStyle w:val="Heading2"/>
        <w:spacing w:before="0" w:after="120"/>
        <w:rPr/>
      </w:pPr>
      <w:r>
        <w:rPr>
          <w:rFonts w:eastAsia="Arial" w:cs="Arial" w:ascii="Arial" w:hAnsi="Arial"/>
          <w:b/>
          <w:bCs/>
          <w:i w:val="false"/>
          <w:iCs w:val="false"/>
          <w:sz w:val="28"/>
          <w:szCs w:val="28"/>
        </w:rPr>
        <w:t>3.2 Mentor Matching (MN-MATCH)</w:t>
      </w:r>
    </w:p>
    <w:p>
      <w:pPr>
        <w:pStyle w:val="Normal"/>
        <w:spacing w:before="0" w:after="200"/>
        <w:rPr/>
      </w:pPr>
      <w:r>
        <w:rPr>
          <w:rFonts w:eastAsia="Arial" w:cs="Arial"/>
          <w:b w:val="false"/>
          <w:bCs w:val="false"/>
          <w:i/>
          <w:iCs/>
          <w:color w:val="888888"/>
          <w:sz w:val="22"/>
          <w:szCs w:val="22"/>
        </w:rPr>
        <w:t>Tier: Core | Version: 2.2 | Last Updated: 04-05-26 18:30</w:t>
      </w:r>
    </w:p>
    <w:p>
      <w:pPr>
        <w:pStyle w:val="Heading3"/>
        <w:spacing w:before="240" w:after="120"/>
        <w:rPr/>
      </w:pPr>
      <w:r>
        <w:rPr>
          <w:rFonts w:eastAsia="Arial" w:cs="Arial" w:ascii="Arial" w:hAnsi="Arial"/>
          <w:b/>
          <w:bCs/>
          <w:i w:val="false"/>
          <w:iCs w:val="false"/>
          <w:sz w:val="24"/>
          <w:szCs w:val="24"/>
        </w:rPr>
        <w:t>Process Purpose</w:t>
      </w:r>
    </w:p>
    <w:p>
      <w:pPr>
        <w:pStyle w:val="Normal"/>
        <w:spacing w:before="0" w:after="120"/>
        <w:rPr/>
      </w:pPr>
      <w:r>
        <w:rPr>
          <w:rFonts w:eastAsia="Arial" w:cs="Arial"/>
          <w:b w:val="false"/>
          <w:bCs w:val="false"/>
          <w:i w:val="false"/>
          <w:iCs w:val="false"/>
          <w:sz w:val="22"/>
          <w:szCs w:val="22"/>
        </w:rPr>
        <w:t>The Mentor Matching process identifies the most appropriate available mentor for a client and obtains the mentor’s acceptance of the assignment. The process is complete when a mentor has accepted and personally introduced themselves to the client.</w:t>
      </w:r>
    </w:p>
    <w:p>
      <w:pPr>
        <w:pStyle w:val="Heading3"/>
        <w:spacing w:before="240" w:after="120"/>
        <w:rPr/>
      </w:pPr>
      <w:r>
        <w:rPr>
          <w:rFonts w:eastAsia="Arial" w:cs="Arial" w:ascii="Arial" w:hAnsi="Arial"/>
          <w:b/>
          <w:bCs/>
          <w:i w:val="false"/>
          <w:iCs w:val="false"/>
          <w:sz w:val="24"/>
          <w:szCs w:val="24"/>
        </w:rPr>
        <w:t>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The Client Intake process (MN-INTAKE) must have completed with an approved outcome. The Engagement record must exist with status Submitted. The associated Client Organization and Client Contact records must be populated with the intake data.</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A Client Organization record with business details (business name, industry sector, business stage), a Client Contact record with the submitting individual’s information, and an Engagement record at Submitted status with mentoring focus areas and mentoring needs description populated.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Manual. The Client Assignment Coordinator reviews the approved submission and begins the matching process. There is no automatic trigger.</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Assignment Coordinator (MST-PER-004).</w:t>
      </w:r>
    </w:p>
    <w:p>
      <w:pPr>
        <w:pStyle w:val="Heading3"/>
        <w:spacing w:before="240" w:after="120"/>
        <w:rPr/>
      </w:pPr>
      <w:r>
        <w:rPr>
          <w:rFonts w:eastAsia="Arial" w:cs="Arial" w:ascii="Arial" w:hAnsi="Arial"/>
          <w:b/>
          <w:bCs/>
          <w:i w:val="false"/>
          <w:iCs w:val="false"/>
          <w:sz w:val="24"/>
          <w:szCs w:val="24"/>
        </w:rPr>
        <w:t>Personas Involved</w:t>
      </w:r>
    </w:p>
    <w:p>
      <w:pPr>
        <w:pStyle w:val="Normal"/>
        <w:spacing w:before="0" w:after="40"/>
        <w:rPr/>
      </w:pPr>
      <w:r>
        <w:rPr>
          <w:rFonts w:eastAsia="Arial" w:cs="Arial"/>
          <w:b/>
          <w:bCs/>
          <w:i w:val="false"/>
          <w:iCs w:val="false"/>
          <w:sz w:val="22"/>
          <w:szCs w:val="22"/>
        </w:rPr>
        <w:t>Client Assignment Coordinator (MST-PER-004)</w:t>
      </w:r>
    </w:p>
    <w:p>
      <w:pPr>
        <w:pStyle w:val="Normal"/>
        <w:spacing w:before="0" w:after="120"/>
        <w:rPr/>
      </w:pPr>
      <w:r>
        <w:rPr>
          <w:rFonts w:eastAsia="Arial" w:cs="Arial"/>
          <w:b w:val="false"/>
          <w:bCs w:val="false"/>
          <w:i w:val="false"/>
          <w:iCs w:val="false"/>
          <w:sz w:val="22"/>
          <w:szCs w:val="22"/>
        </w:rPr>
        <w:t>Searches the mentor roster, evaluates candidates against client needs, nominates the primary mentor, and activates the assignment upon acceptance.</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Provides mentor availability and capacity information to support the matching process.</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Receives the assignment notification, reviews the client summary, and accepts or declines the assignment. Upon acceptance, personally introduces themselves to the client.</w:t>
      </w:r>
    </w:p>
    <w:p>
      <w:pPr>
        <w:pStyle w:val="Heading3"/>
        <w:spacing w:before="240" w:after="120"/>
        <w:rPr/>
      </w:pPr>
      <w:r>
        <w:rPr>
          <w:rFonts w:eastAsia="Arial" w:cs="Arial" w:ascii="Arial" w:hAnsi="Arial"/>
          <w:b/>
          <w:bCs/>
          <w:i w:val="false"/>
          <w:iCs w:val="false"/>
          <w:sz w:val="24"/>
          <w:szCs w:val="24"/>
        </w:rPr>
        <w:t>Process Workflow</w:t>
      </w:r>
    </w:p>
    <w:p>
      <w:pPr>
        <w:pStyle w:val="ListParagraph"/>
        <w:numPr>
          <w:ilvl w:val="0"/>
          <w:numId w:val="8"/>
        </w:numPr>
        <w:spacing w:before="0" w:after="80"/>
        <w:rPr/>
      </w:pPr>
      <w:r>
        <w:rPr>
          <w:rFonts w:eastAsia="Arial" w:cs="Arial"/>
          <w:b w:val="false"/>
          <w:bCs w:val="false"/>
          <w:i w:val="false"/>
          <w:iCs w:val="false"/>
          <w:sz w:val="22"/>
          <w:szCs w:val="22"/>
        </w:rPr>
        <w:t>The Client Assignment Coordinator reviews the approved client’s Client Organization record and Engagement record.</w:t>
      </w:r>
    </w:p>
    <w:p>
      <w:pPr>
        <w:pStyle w:val="ListParagraph"/>
      </w:pPr>
      <w:r>
        <w:t xml:space="preserve">The Client Assignment Coordinator checks whether the Engagement has a Requested Mentor (MN-INTAKE-DAT-026). If the client selected a preferred mentor during intake, the coordinator reviews the requested mentor’s profile, availability, and fit. If the requested mentor is appropriate and available, the coordinator may proceed directly to nomination. If the requested mentor is not appropriate or not available, the coordinator searches the general roster. The request is a client preference, not a binding assignment.</w:t>
      </w:r>
    </w:p>
    <w:p>
      <w:pPr>
        <w:pStyle w:val="ListParagraph"/>
        <w:numPr>
          <w:ilvl w:val="0"/>
          <w:numId w:val="2"/>
        </w:numPr>
        <w:spacing w:before="0" w:after="80"/>
        <w:rPr/>
      </w:pPr>
      <w:r>
        <w:rPr>
          <w:rFonts w:eastAsia="Arial" w:cs="Arial"/>
          <w:b w:val="false"/>
          <w:bCs w:val="false"/>
          <w:i w:val="false"/>
          <w:iCs w:val="false"/>
          <w:sz w:val="22"/>
          <w:szCs w:val="22"/>
        </w:rPr>
        <w:t>The coordinator searches the active mentor roster. The system provides a list filter showing only Active mentors with available capacity. The filter does not prevent assignment of a mentor who does not meet the filter criteria.</w:t>
      </w:r>
    </w:p>
    <w:p>
      <w:pPr>
        <w:pStyle w:val="ListParagraph"/>
        <w:numPr>
          <w:ilvl w:val="0"/>
          <w:numId w:val="2"/>
        </w:numPr>
        <w:spacing w:before="0" w:after="80"/>
        <w:rPr/>
      </w:pPr>
      <w:r>
        <w:rPr>
          <w:rFonts w:eastAsia="Arial" w:cs="Arial"/>
          <w:b w:val="false"/>
          <w:bCs w:val="false"/>
          <w:i w:val="false"/>
          <w:iCs w:val="false"/>
          <w:sz w:val="22"/>
          <w:szCs w:val="22"/>
        </w:rPr>
        <w:t>The coordinator nominates a primary mentor. The system automatically changes the Engagement status to Pending Acceptance and sends a notification to the nominated mentor with a client summary and accept/decline options. A configurable acceptance window applies (default: 48 hours).</w:t>
      </w:r>
    </w:p>
    <w:p>
      <w:pPr>
        <w:pStyle w:val="ListParagraph"/>
        <w:numPr>
          <w:ilvl w:val="0"/>
          <w:numId w:val="2"/>
        </w:numPr>
        <w:spacing w:before="0" w:after="80"/>
        <w:rPr/>
      </w:pPr>
      <w:r>
        <w:rPr>
          <w:rFonts w:eastAsia="Arial" w:cs="Arial"/>
          <w:b w:val="false"/>
          <w:bCs w:val="false"/>
          <w:i w:val="false"/>
          <w:iCs w:val="false"/>
          <w:sz w:val="22"/>
          <w:szCs w:val="22"/>
        </w:rPr>
        <w:t>If the mentor accepts: the Engagement status changes to Assigned and the coordinator is notified.</w:t>
      </w:r>
    </w:p>
    <w:p>
      <w:pPr>
        <w:pStyle w:val="ListParagraph"/>
        <w:numPr>
          <w:ilvl w:val="0"/>
          <w:numId w:val="2"/>
        </w:numPr>
        <w:spacing w:before="0" w:after="80"/>
        <w:rPr/>
      </w:pPr>
      <w:r>
        <w:rPr>
          <w:rFonts w:eastAsia="Arial" w:cs="Arial"/>
          <w:b w:val="false"/>
          <w:bCs w:val="false"/>
          <w:i w:val="false"/>
          <w:iCs w:val="false"/>
          <w:sz w:val="22"/>
          <w:szCs w:val="22"/>
        </w:rPr>
        <w:t>If the mentor declines: the Engagement status reverts to Submitted and the coordinator nominates a different mentor. No explanation is required.</w:t>
      </w:r>
    </w:p>
    <w:p>
      <w:pPr>
        <w:pStyle w:val="ListParagraph"/>
        <w:numPr>
          <w:ilvl w:val="0"/>
          <w:numId w:val="2"/>
        </w:numPr>
        <w:spacing w:before="0" w:after="80"/>
        <w:rPr/>
      </w:pPr>
      <w:r>
        <w:rPr>
          <w:rFonts w:eastAsia="Arial" w:cs="Arial"/>
          <w:b w:val="false"/>
          <w:bCs w:val="false"/>
          <w:i w:val="false"/>
          <w:iCs w:val="false"/>
          <w:sz w:val="22"/>
          <w:szCs w:val="22"/>
        </w:rPr>
        <w:t>If no response within the acceptance window: the coordinator is alerted to follow up or nominate a different mentor.</w:t>
      </w:r>
    </w:p>
    <w:p>
      <w:pPr>
        <w:pStyle w:val="ListParagraph"/>
        <w:numPr>
          <w:ilvl w:val="0"/>
          <w:numId w:val="2"/>
        </w:numPr>
        <w:spacing w:before="0" w:after="80"/>
        <w:rPr/>
      </w:pPr>
      <w:r>
        <w:rPr>
          <w:rFonts w:eastAsia="Arial" w:cs="Arial"/>
          <w:b w:val="false"/>
          <w:bCs w:val="false"/>
          <w:i w:val="false"/>
          <w:iCs w:val="false"/>
          <w:sz w:val="22"/>
          <w:szCs w:val="22"/>
        </w:rPr>
        <w:t>The mentor personally introduces themselves to the client via email using system-provided templates.</w:t>
      </w:r>
    </w:p>
    <w:p>
      <w:pPr>
        <w:pStyle w:val="ListParagraph"/>
        <w:numPr>
          <w:ilvl w:val="0"/>
          <w:numId w:val="2"/>
        </w:numPr>
        <w:spacing w:before="0" w:after="80"/>
        <w:rPr/>
      </w:pPr>
      <w:r>
        <w:rPr>
          <w:rFonts w:eastAsia="Arial" w:cs="Arial"/>
          <w:b w:val="false"/>
          <w:bCs w:val="false"/>
          <w:i w:val="false"/>
          <w:iCs w:val="false"/>
          <w:sz w:val="22"/>
          <w:szCs w:val="22"/>
        </w:rPr>
        <w:t>The delivery of the Phase 2 supplemental intake form is at the mentor’s discretion.</w:t>
      </w:r>
    </w:p>
    <w:p>
      <w:pPr>
        <w:pStyle w:val="Heading3"/>
        <w:spacing w:before="240" w:after="120"/>
        <w:rPr/>
      </w:pPr>
      <w:r>
        <w:rPr>
          <w:rFonts w:eastAsia="Arial" w:cs="Arial" w:ascii="Arial" w:hAnsi="Arial"/>
          <w:b/>
          <w:bCs/>
          <w:i w:val="false"/>
          <w:iCs w:val="false"/>
          <w:sz w:val="24"/>
          <w:szCs w:val="24"/>
        </w:rPr>
        <w:t>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A mentor accepts the assignment and personally introduces themselves to the client. The Engagement status is Assigned. The Client Assignment Coordinator is notified of the acceptance.</w:t>
      </w:r>
    </w:p>
    <w:p>
      <w:pPr>
        <w:pStyle w:val="Normal"/>
        <w:spacing w:before="0" w:after="40"/>
        <w:rPr/>
      </w:pPr>
      <w:r>
        <w:rPr>
          <w:rFonts w:eastAsia="Arial" w:cs="Arial"/>
          <w:b/>
          <w:bCs/>
          <w:i w:val="false"/>
          <w:iCs w:val="false"/>
          <w:sz w:val="22"/>
          <w:szCs w:val="22"/>
        </w:rPr>
        <w:t>Cycle Path: Mentor Declines</w:t>
      </w:r>
    </w:p>
    <w:p>
      <w:pPr>
        <w:pStyle w:val="Normal"/>
        <w:spacing w:before="0" w:after="120"/>
        <w:rPr/>
      </w:pPr>
      <w:r>
        <w:rPr>
          <w:rFonts w:eastAsia="Arial" w:cs="Arial"/>
          <w:b w:val="false"/>
          <w:bCs w:val="false"/>
          <w:i w:val="false"/>
          <w:iCs w:val="false"/>
          <w:sz w:val="22"/>
          <w:szCs w:val="22"/>
        </w:rPr>
        <w:t>If the nominated mentor declines, the Engagement status reverts to Submitted and the coordinator nominates a different mentor. This cycle repeats until a mentor accepts.</w:t>
      </w:r>
    </w:p>
    <w:p>
      <w:pPr>
        <w:pStyle w:val="Normal"/>
        <w:spacing w:before="0" w:after="40"/>
        <w:rPr/>
      </w:pPr>
      <w:r>
        <w:rPr>
          <w:rFonts w:eastAsia="Arial" w:cs="Arial"/>
          <w:b/>
          <w:bCs/>
          <w:i w:val="false"/>
          <w:iCs w:val="false"/>
          <w:sz w:val="22"/>
          <w:szCs w:val="22"/>
        </w:rPr>
        <w:t>Timeout Path: No Response</w:t>
      </w:r>
    </w:p>
    <w:p>
      <w:pPr>
        <w:pStyle w:val="Normal"/>
        <w:spacing w:before="0" w:after="120"/>
        <w:rPr/>
      </w:pPr>
      <w:r>
        <w:rPr>
          <w:rFonts w:eastAsia="Arial" w:cs="Arial"/>
          <w:b w:val="false"/>
          <w:bCs w:val="false"/>
          <w:i w:val="false"/>
          <w:iCs w:val="false"/>
          <w:sz w:val="22"/>
          <w:szCs w:val="22"/>
        </w:rPr>
        <w:t>If the nominated mentor does not respond within the configurable acceptance window, the coordinator is alerted and may follow up or nominate a different mentor.</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The system records the candidate mentors considered and the rationale for the final selection (MN-MATCH-REQ-007). All matching history is retained for audit and reporting.</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After the mentor has accepted and introduced themselves, the engagement proceeds to Engagement Management (MN-ENGAGE). The Phase 2 supplemental intake form delivery is at the mentor’s discretion.</w:t>
      </w:r>
    </w:p>
    <w:p>
      <w:pPr>
        <w:pStyle w:val="Heading3"/>
        <w:spacing w:before="240" w:after="120"/>
        <w:rPr/>
      </w:pPr>
      <w:r>
        <w:rPr>
          <w:rFonts w:eastAsia="Arial" w:cs="Arial" w:ascii="Arial" w:hAnsi="Arial"/>
          <w:b/>
          <w:bCs/>
          <w:i w:val="false"/>
          <w:iCs w:val="false"/>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searching and filtering the mentor roster by industry expertise, mentoring focus areas, skills and expertise tags, availability, capacity, and language.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a list filter on the mentor roster that shows only mentors who are Active, currently accepting new clients, and have available capacity. The filter must not prevent assignment of a mentor who does not meet the filter criteria.</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assignment of a primary mentor to an engagement and automatically transition the Engagement status to Pending Acceptance upon assignment.</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notify the nominated mentor automatically with client intake summary and accept/decline options.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enforce a configurable acceptance window and alert the Client Assignment Coordinator when it expires.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revert the Engagement to Submitted status automatically if a mentor declines.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record the candidate mentors considered and the rationale for the final selection.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email templates for mentor introduction communications.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MN-MATCH-REQ-009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When a Requested Mentor is present on the Engagement, the Client Assignment Coordinator must review the requested mentor’s profile, availability, and fit before searching the general mentor roster. The request is a client preference, not a binding assignment.</w:t>
            </w:r>
          </w:p>
        </w:tc>
      </w:tr>
    </w:tbl>
    <w:p>
      <w:pPr>
        <w:pStyle w:val="Heading3"/>
        <w:spacing w:before="240" w:after="120"/>
        <w:rPr/>
      </w:pPr>
      <w:r>
        <w:rPr>
          <w:rFonts w:eastAsia="Arial" w:cs="Arial" w:ascii="Arial" w:hAnsi="Arial"/>
          <w:b/>
          <w:bCs/>
          <w:i w:val="false"/>
          <w:iCs w:val="false"/>
          <w:sz w:val="24"/>
          <w:szCs w:val="24"/>
        </w:rPr>
        <w:t>Process Data</w:t>
      </w:r>
    </w:p>
    <w:p>
      <w:pPr>
        <w:pStyle w:val="Normal"/>
        <w:spacing w:before="0" w:after="120"/>
        <w:rPr/>
      </w:pPr>
      <w:r>
        <w:rPr>
          <w:rFonts w:eastAsia="Arial" w:cs="Arial"/>
          <w:b w:val="false"/>
          <w:bCs w:val="false"/>
          <w:i w:val="false"/>
          <w:iCs w:val="false"/>
          <w:sz w:val="22"/>
          <w:szCs w:val="22"/>
        </w:rPr>
        <w:t>This process reads the following fields. See Section 4 (Data Reference) for full field-level detail.</w:t>
      </w:r>
    </w:p>
    <w:p>
      <w:pPr>
        <w:pStyle w:val="Normal"/>
        <w:spacing w:before="0" w:after="120"/>
        <w:rPr/>
      </w:pPr>
      <w:r>
        <w:rPr>
          <w:rFonts w:eastAsia="Arial" w:cs="Arial"/>
          <w:b w:val="false"/>
          <w:bCs w:val="false"/>
          <w:i w:val="false"/>
          <w:iCs w:val="false"/>
          <w:sz w:val="22"/>
          <w:szCs w:val="22"/>
        </w:rPr>
        <w:t>Client Organization: Business Name (MN-MATCH-DAT-001), Website (DAT-002), Address (DAT-003), Organization Type (DAT-004), Business Stage (DAT-005), Industry Sector (DAT-006), Industry Subsector (DAT-007).</w:t>
      </w:r>
    </w:p>
    <w:p>
      <w:pPr>
        <w:pStyle w:val="Normal"/>
        <w:spacing w:before="0" w:after="120"/>
        <w:rPr/>
      </w:pPr>
      <w:r>
        <w:rPr>
          <w:rFonts w:eastAsia="Arial" w:cs="Arial"/>
          <w:b w:val="false"/>
          <w:bCs w:val="false"/>
          <w:i w:val="false"/>
          <w:iCs w:val="false"/>
          <w:sz w:val="22"/>
          <w:szCs w:val="22"/>
        </w:rPr>
        <w:t>Engagement: Status (MN-MATCH-DAT-008), Mentoring Focus Areas (DAT-009), Mentoring Needs Description (DAT-010), Primary Engagement Contact (DAT-022), Requested Mentor (MN-MATCH-DAT-024 — optional client preference set during intake).</w:t>
      </w:r>
    </w:p>
    <w:p>
      <w:pPr>
        <w:pStyle w:val="Normal"/>
        <w:spacing w:before="0" w:after="120"/>
        <w:rPr/>
      </w:pPr>
      <w:r>
        <w:rPr>
          <w:rFonts w:eastAsia="Arial" w:cs="Arial"/>
          <w:b w:val="false"/>
          <w:bCs w:val="false"/>
          <w:i w:val="false"/>
          <w:iCs w:val="false"/>
          <w:sz w:val="22"/>
          <w:szCs w:val="22"/>
        </w:rPr>
        <w:t>Mentor Contact (from MR domain): Industry Sectors (MN-MATCH-DAT-011), Mentoring Focus Areas (DAT-012), Skills and Expertise Tags (DAT-013), Fluent Languages (DAT-014), Mentor Status (DAT-015), Accepting New Clients (DAT-016), Maximum Client Capacity (DAT-017), Available Capacity (DAT-018).</w:t>
      </w:r>
    </w:p>
    <w:p>
      <w:pPr>
        <w:pStyle w:val="Heading3"/>
        <w:spacing w:before="240" w:after="120"/>
        <w:rPr/>
      </w:pPr>
      <w:r>
        <w:rPr>
          <w:rFonts w:eastAsia="Arial" w:cs="Arial" w:ascii="Arial" w:hAnsi="Arial"/>
          <w:b/>
          <w:bCs/>
          <w:i w:val="false"/>
          <w:iCs w:val="false"/>
          <w:sz w:val="24"/>
          <w:szCs w:val="24"/>
        </w:rPr>
        <w:t>Data Collected</w:t>
      </w:r>
    </w:p>
    <w:p>
      <w:pPr>
        <w:pStyle w:val="Normal"/>
        <w:spacing w:before="0" w:after="120"/>
        <w:rPr/>
      </w:pPr>
      <w:r>
        <w:rPr>
          <w:rFonts w:eastAsia="Arial" w:cs="Arial"/>
          <w:b w:val="false"/>
          <w:bCs w:val="false"/>
          <w:i w:val="false"/>
          <w:iCs w:val="false"/>
          <w:sz w:val="22"/>
          <w:szCs w:val="22"/>
        </w:rPr>
        <w:t>This process creates or updates the following fields. See Section 4 (Data Reference) for full field-level detail.</w:t>
      </w:r>
    </w:p>
    <w:p>
      <w:pPr>
        <w:pStyle w:val="Normal"/>
        <w:spacing w:before="0" w:after="120"/>
        <w:rPr/>
      </w:pPr>
      <w:r>
        <w:rPr>
          <w:rFonts w:eastAsia="Arial" w:cs="Arial"/>
          <w:b w:val="false"/>
          <w:bCs w:val="false"/>
          <w:i w:val="false"/>
          <w:iCs w:val="false"/>
          <w:sz w:val="22"/>
          <w:szCs w:val="22"/>
        </w:rPr>
        <w:t>Engagement: Assigned Mentor (MN-MATCH-DAT-019), Status (DAT-020), Engagement Contacts (DAT-021), Primary Engagement Contact (DAT-023).</w:t>
      </w:r>
    </w:p>
    <w:p>
      <w:pPr>
        <w:pStyle w:val="Normal"/>
        <w:rPr/>
      </w:pPr>
      <w:r>
        <w:rPr/>
      </w:r>
      <w:r>
        <w:br w:type="page"/>
      </w:r>
    </w:p>
    <w:p>
      <w:pPr>
        <w:pStyle w:val="Heading2"/>
        <w:spacing w:before="0" w:after="120"/>
        <w:rPr/>
      </w:pPr>
      <w:r>
        <w:rPr>
          <w:rFonts w:eastAsia="Arial" w:cs="Arial" w:ascii="Arial" w:hAnsi="Arial"/>
          <w:b/>
          <w:bCs/>
          <w:i w:val="false"/>
          <w:iCs w:val="false"/>
          <w:sz w:val="28"/>
          <w:szCs w:val="28"/>
        </w:rPr>
        <w:t>3.3 Engagement Management (MN-ENGAGE)</w:t>
      </w:r>
    </w:p>
    <w:p>
      <w:pPr>
        <w:pStyle w:val="Normal"/>
        <w:spacing w:before="0" w:after="200"/>
        <w:rPr/>
      </w:pPr>
      <w:r>
        <w:rPr>
          <w:rFonts w:eastAsia="Arial" w:cs="Arial"/>
          <w:b w:val="false"/>
          <w:bCs w:val="false"/>
          <w:i/>
          <w:iCs/>
          <w:color w:val="888888"/>
          <w:sz w:val="22"/>
          <w:szCs w:val="22"/>
        </w:rPr>
        <w:t>Tier: Core | Version: 2.3 | Last Updated: 04-01-26 05:00</w:t>
      </w:r>
    </w:p>
    <w:p>
      <w:pPr>
        <w:pStyle w:val="Heading3"/>
        <w:spacing w:before="240" w:after="120"/>
        <w:rPr/>
      </w:pPr>
      <w:r>
        <w:rPr>
          <w:rFonts w:eastAsia="Arial" w:cs="Arial" w:ascii="Arial" w:hAnsi="Arial"/>
          <w:b/>
          <w:bCs/>
          <w:i w:val="false"/>
          <w:iCs w:val="false"/>
          <w:sz w:val="24"/>
          <w:szCs w:val="24"/>
        </w:rPr>
        <w:t>Process Purpose</w:t>
      </w:r>
    </w:p>
    <w:p>
      <w:pPr>
        <w:pStyle w:val="Normal"/>
        <w:spacing w:before="0" w:after="120"/>
        <w:rPr/>
      </w:pPr>
      <w:r>
        <w:rPr>
          <w:rFonts w:eastAsia="Arial" w:cs="Arial"/>
          <w:b w:val="false"/>
          <w:bCs w:val="false"/>
          <w:i w:val="false"/>
          <w:iCs w:val="false"/>
          <w:sz w:val="22"/>
          <w:szCs w:val="22"/>
        </w:rPr>
        <w:t>The Engagement Management process supports the ongoing delivery of mentoring services from the first scheduled session through the active engagement lifecycle. It covers session scheduling and recording, meeting cadence management, engagement health visibility, and the administrative tools needed to keep mentoring relationships on track.</w:t>
      </w:r>
    </w:p>
    <w:p>
      <w:pPr>
        <w:pStyle w:val="Normal"/>
        <w:spacing w:before="0" w:after="120"/>
        <w:rPr/>
      </w:pPr>
      <w:r>
        <w:rPr>
          <w:rFonts w:eastAsia="Arial" w:cs="Arial"/>
          <w:b w:val="false"/>
          <w:bCs w:val="false"/>
          <w:i w:val="false"/>
          <w:iCs w:val="false"/>
          <w:sz w:val="22"/>
          <w:szCs w:val="22"/>
        </w:rPr>
        <w:t>This process does not have a single completion point — it runs continuously for the duration of the engagement, which may span months or years. Exit occurs only through formal closure (MN-CLOSE) or inactivity monitoring (MN-INACTIVE).</w:t>
      </w:r>
    </w:p>
    <w:p>
      <w:pPr>
        <w:pStyle w:val="Heading3"/>
        <w:spacing w:before="240" w:after="120"/>
        <w:rPr/>
      </w:pPr>
      <w:r>
        <w:rPr>
          <w:rFonts w:eastAsia="Arial" w:cs="Arial" w:ascii="Arial" w:hAnsi="Arial"/>
          <w:b/>
          <w:bCs/>
          <w:i w:val="false"/>
          <w:iCs w:val="false"/>
          <w:sz w:val="24"/>
          <w:szCs w:val="24"/>
        </w:rPr>
        <w:t>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The Mentor Matching process (MN-MATCH) must have completed successfully — a mentor has accepted the assignment and personally introduced themselves to the client. The Engagement must exist with status Assigned. The Assigned Mentor must be set. The Primary Engagement Contact must be set (automatically assigned during Client Intake).</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Engagement: Status at Assigned (MN-ENGAGE-DAT-001), Assigned Mentor (DAT-002), Engagement Contacts (DAT-003), Primary Engagement Contact (DAT-037). Client Organization and Client Contact fields as supporting context.</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Manual. The assigned mentor creates the first Session record with status Scheduled and a meeting date/time. The first session meeting request is handled manually — automated session chaining begins only after the first session is completed.</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Mentor (MST-PER-011). The assigned mentor is solely responsible for initiating the engagement by scheduling the first session.</w:t>
      </w:r>
    </w:p>
    <w:p>
      <w:pPr>
        <w:pStyle w:val="Heading3"/>
        <w:spacing w:before="240" w:after="120"/>
        <w:rPr/>
      </w:pPr>
      <w:r>
        <w:rPr>
          <w:rFonts w:eastAsia="Arial" w:cs="Arial" w:ascii="Arial" w:hAnsi="Arial"/>
          <w:b/>
          <w:bCs/>
          <w:i w:val="false"/>
          <w:iCs w:val="false"/>
          <w:sz w:val="24"/>
          <w:szCs w:val="24"/>
        </w:rPr>
        <w:t>Personas Involved</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Primary actor. Schedules and records sessions, sets meeting cadence, assigns additional mentors, reviews and sends session summaries, and can place the engagement on hold. Responsible for all session lifecycle management.</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Passive observer. Monitors engagement activity and intervenes only when issues arise, such as mentor incapacitation. May update session status or send session summaries in exceptional cases.</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Participates in mentoring sessions, receives meeting requests and session summary emails. Represented by one or more client contacts designated as engagement participants.</w:t>
      </w:r>
    </w:p>
    <w:p>
      <w:pPr>
        <w:pStyle w:val="Normal"/>
        <w:spacing w:before="0" w:after="120"/>
        <w:rPr/>
      </w:pPr>
      <w:r>
        <w:rPr>
          <w:rFonts w:eastAsia="Arial" w:cs="Arial"/>
          <w:b w:val="false"/>
          <w:bCs w:val="false"/>
          <w:i/>
          <w:iCs/>
          <w:sz w:val="22"/>
          <w:szCs w:val="22"/>
        </w:rPr>
        <w:t>Note: The Client Assignment Coordinator (MST-PER-004) does not have a formal role in this process.</w:t>
      </w:r>
    </w:p>
    <w:p>
      <w:pPr>
        <w:pStyle w:val="Heading3"/>
        <w:spacing w:before="240" w:after="120"/>
        <w:rPr/>
      </w:pPr>
      <w:r>
        <w:rPr>
          <w:rFonts w:eastAsia="Arial" w:cs="Arial" w:ascii="Arial" w:hAnsi="Arial"/>
          <w:b/>
          <w:bCs/>
          <w:i w:val="false"/>
          <w:iCs w:val="false"/>
          <w:sz w:val="24"/>
          <w:szCs w:val="24"/>
        </w:rPr>
        <w:t>Process Workflow</w:t>
      </w:r>
    </w:p>
    <w:p>
      <w:pPr>
        <w:pStyle w:val="Normal"/>
        <w:spacing w:before="0" w:after="60"/>
        <w:rPr/>
      </w:pPr>
      <w:r>
        <w:rPr>
          <w:rFonts w:eastAsia="Arial" w:cs="Arial"/>
          <w:b/>
          <w:bCs/>
          <w:i w:val="false"/>
          <w:iCs w:val="false"/>
          <w:sz w:val="22"/>
          <w:szCs w:val="22"/>
        </w:rPr>
        <w:t>Core Session Cycle</w:t>
      </w:r>
    </w:p>
    <w:p>
      <w:pPr>
        <w:pStyle w:val="ListParagraph"/>
        <w:numPr>
          <w:ilvl w:val="0"/>
          <w:numId w:val="9"/>
        </w:numPr>
        <w:spacing w:before="0" w:after="80"/>
        <w:rPr/>
      </w:pPr>
      <w:r>
        <w:rPr>
          <w:rFonts w:eastAsia="Arial" w:cs="Arial"/>
          <w:b w:val="false"/>
          <w:bCs w:val="false"/>
          <w:i w:val="false"/>
          <w:iCs w:val="false"/>
          <w:sz w:val="22"/>
          <w:szCs w:val="22"/>
        </w:rPr>
        <w:t>The mentor creates the first Session record with status Scheduled and a meeting date/time. The first session meeting request is handled manually.</w:t>
      </w:r>
    </w:p>
    <w:p>
      <w:pPr>
        <w:pStyle w:val="ListParagraph"/>
        <w:numPr>
          <w:ilvl w:val="0"/>
          <w:numId w:val="3"/>
        </w:numPr>
        <w:spacing w:before="0" w:after="80"/>
        <w:rPr/>
      </w:pPr>
      <w:r>
        <w:rPr>
          <w:rFonts w:eastAsia="Arial" w:cs="Arial"/>
          <w:b w:val="false"/>
          <w:bCs w:val="false"/>
          <w:i w:val="false"/>
          <w:iCs w:val="false"/>
          <w:sz w:val="22"/>
          <w:szCs w:val="22"/>
        </w:rPr>
        <w:t>The meeting takes place. The mentor updates the Session with details — duration, session type, topics covered, session notes, and next steps — and changes the Session status to Completed.</w:t>
      </w:r>
    </w:p>
    <w:p>
      <w:pPr>
        <w:pStyle w:val="ListParagraph"/>
        <w:numPr>
          <w:ilvl w:val="0"/>
          <w:numId w:val="3"/>
        </w:numPr>
        <w:spacing w:before="0" w:after="80"/>
        <w:rPr/>
      </w:pPr>
      <w:r>
        <w:rPr>
          <w:rFonts w:eastAsia="Arial" w:cs="Arial"/>
          <w:b w:val="false"/>
          <w:bCs w:val="false"/>
          <w:i w:val="false"/>
          <w:iCs w:val="false"/>
          <w:sz w:val="22"/>
          <w:szCs w:val="22"/>
        </w:rPr>
        <w:t>The first Session reaching Completed status automatically transitions the Engagement from Assigned to Active.</w:t>
      </w:r>
    </w:p>
    <w:p>
      <w:pPr>
        <w:pStyle w:val="ListParagraph"/>
        <w:numPr>
          <w:ilvl w:val="0"/>
          <w:numId w:val="3"/>
        </w:numPr>
        <w:spacing w:before="0" w:after="80"/>
        <w:rPr/>
      </w:pPr>
      <w:r>
        <w:rPr>
          <w:rFonts w:eastAsia="Arial" w:cs="Arial"/>
          <w:b w:val="false"/>
          <w:bCs w:val="false"/>
          <w:i w:val="false"/>
          <w:iCs w:val="false"/>
          <w:sz w:val="22"/>
          <w:szCs w:val="22"/>
        </w:rPr>
        <w:t>During the first session, the mentor and client discuss and agree on a meeting cadence. The mentor sets the Meeting Cadence on the Engagement record after the session.</w:t>
      </w:r>
    </w:p>
    <w:p>
      <w:pPr>
        <w:pStyle w:val="ListParagraph"/>
        <w:numPr>
          <w:ilvl w:val="0"/>
          <w:numId w:val="3"/>
        </w:numPr>
        <w:spacing w:before="0" w:after="80"/>
        <w:rPr/>
      </w:pPr>
      <w:r>
        <w:rPr>
          <w:rFonts w:eastAsia="Arial" w:cs="Arial"/>
          <w:b w:val="false"/>
          <w:bCs w:val="false"/>
          <w:i w:val="false"/>
          <w:iCs w:val="false"/>
          <w:sz w:val="22"/>
          <w:szCs w:val="22"/>
        </w:rPr>
        <w:t>The mentor sets the Next Session Date/Time on the completed Session. The system automatically creates a calendar event, sends a meeting request with a video conferencing link to the Primary Engagement Contact (with other Engagement Contacts, if any, as CC and all assigned mentors as attendees), and creates the next Session record at Scheduled status.</w:t>
      </w:r>
    </w:p>
    <w:p>
      <w:pPr>
        <w:pStyle w:val="ListParagraph"/>
        <w:numPr>
          <w:ilvl w:val="0"/>
          <w:numId w:val="3"/>
        </w:numPr>
        <w:spacing w:before="0" w:after="80"/>
        <w:rPr/>
      </w:pPr>
      <w:r>
        <w:rPr>
          <w:rFonts w:eastAsia="Arial" w:cs="Arial"/>
          <w:b w:val="false"/>
          <w:bCs w:val="false"/>
          <w:i w:val="false"/>
          <w:iCs w:val="false"/>
          <w:sz w:val="22"/>
          <w:szCs w:val="22"/>
        </w:rPr>
        <w:t>The mentor reviews and sends a system-drafted session summary email to the Primary Engagement Contact (with other Engagement Contacts, if any, as CC), populated from topics covered, next steps, and next session date.</w:t>
      </w:r>
    </w:p>
    <w:p>
      <w:pPr>
        <w:pStyle w:val="ListParagraph"/>
        <w:numPr>
          <w:ilvl w:val="0"/>
          <w:numId w:val="3"/>
        </w:numPr>
        <w:spacing w:before="0" w:after="80"/>
        <w:rPr/>
      </w:pPr>
      <w:r>
        <w:rPr>
          <w:rFonts w:eastAsia="Arial" w:cs="Arial"/>
          <w:b w:val="false"/>
          <w:bCs w:val="false"/>
          <w:i w:val="false"/>
          <w:iCs w:val="false"/>
          <w:sz w:val="22"/>
          <w:szCs w:val="22"/>
        </w:rPr>
        <w:t>For all subsequent sessions, the cycle repeats. The system calculates and updates roll-up analytics on the Engagement record: total sessions, total session hours, sessions in last 30 days, and last session date.</w:t>
      </w:r>
    </w:p>
    <w:p>
      <w:pPr>
        <w:pStyle w:val="Normal"/>
        <w:spacing w:before="0" w:after="120"/>
        <w:rPr/>
      </w:pPr>
      <w:r>
        <w:rPr/>
      </w:r>
    </w:p>
    <w:p>
      <w:pPr>
        <w:pStyle w:val="Normal"/>
        <w:spacing w:before="0" w:after="60"/>
        <w:rPr/>
      </w:pPr>
      <w:r>
        <w:rPr>
          <w:rFonts w:eastAsia="Arial" w:cs="Arial"/>
          <w:b/>
          <w:bCs/>
          <w:i w:val="false"/>
          <w:iCs w:val="false"/>
          <w:sz w:val="22"/>
          <w:szCs w:val="22"/>
        </w:rPr>
        <w:t>Additional Mentors</w:t>
      </w:r>
    </w:p>
    <w:p>
      <w:pPr>
        <w:pStyle w:val="Normal"/>
        <w:spacing w:before="0" w:after="120"/>
        <w:rPr/>
      </w:pPr>
      <w:r>
        <w:rPr>
          <w:rFonts w:eastAsia="Arial" w:cs="Arial"/>
          <w:b w:val="false"/>
          <w:bCs w:val="false"/>
          <w:i w:val="false"/>
          <w:iCs w:val="false"/>
          <w:sz w:val="22"/>
          <w:szCs w:val="22"/>
        </w:rPr>
        <w:t>The mentor may add additional mentors (co-mentors or subject matter experts) to the engagement at any time. The mentor coordinates informally outside the system to obtain agreement before adding them.</w:t>
      </w:r>
    </w:p>
    <w:p>
      <w:pPr>
        <w:pStyle w:val="Normal"/>
        <w:spacing w:before="0" w:after="60"/>
        <w:rPr/>
      </w:pPr>
      <w:r>
        <w:rPr>
          <w:rFonts w:eastAsia="Arial" w:cs="Arial"/>
          <w:b/>
          <w:bCs/>
          <w:i w:val="false"/>
          <w:iCs w:val="false"/>
          <w:sz w:val="22"/>
          <w:szCs w:val="22"/>
        </w:rPr>
        <w:t>On-Hold</w:t>
      </w:r>
    </w:p>
    <w:p>
      <w:pPr>
        <w:pStyle w:val="Normal"/>
        <w:spacing w:before="0" w:after="120"/>
        <w:rPr/>
      </w:pPr>
      <w:r>
        <w:rPr>
          <w:rFonts w:eastAsia="Arial" w:cs="Arial"/>
          <w:b w:val="false"/>
          <w:bCs w:val="false"/>
          <w:i w:val="false"/>
          <w:iCs w:val="false"/>
          <w:sz w:val="22"/>
          <w:szCs w:val="22"/>
        </w:rPr>
        <w:t>If the client requests a pause, the mentor places the Engagement On-Hold by changing the status, adding an Engagement Note explaining the reason, and setting the Hold End Date. The mentor manually changes the status back to Active when the client is ready to resume.</w:t>
      </w:r>
    </w:p>
    <w:p>
      <w:pPr>
        <w:pStyle w:val="Normal"/>
        <w:spacing w:before="0" w:after="60"/>
        <w:rPr/>
      </w:pPr>
      <w:r>
        <w:rPr>
          <w:rFonts w:eastAsia="Arial" w:cs="Arial"/>
          <w:b/>
          <w:bCs/>
          <w:i w:val="false"/>
          <w:iCs w:val="false"/>
          <w:sz w:val="22"/>
          <w:szCs w:val="22"/>
        </w:rPr>
        <w:t>Session Rescheduling and Cancellations</w:t>
      </w:r>
    </w:p>
    <w:p>
      <w:pPr>
        <w:pStyle w:val="Normal"/>
        <w:spacing w:before="0" w:after="120"/>
        <w:rPr/>
      </w:pPr>
      <w:r>
        <w:rPr>
          <w:rFonts w:eastAsia="Arial" w:cs="Arial"/>
          <w:b w:val="false"/>
          <w:bCs w:val="false"/>
          <w:i w:val="false"/>
          <w:iCs w:val="false"/>
          <w:sz w:val="22"/>
          <w:szCs w:val="22"/>
        </w:rPr>
        <w:t>When a session is rescheduled, the original Session record is preserved with a rescheduled status and a new Session is created with the new date. Sessions are never deleted. Canceled and missed statuses indicate unrescheduled sessions and may signal engagement health concerns.</w:t>
      </w:r>
    </w:p>
    <w:p>
      <w:pPr>
        <w:pStyle w:val="Heading3"/>
        <w:spacing w:before="240" w:after="120"/>
        <w:rPr/>
      </w:pPr>
      <w:r>
        <w:rPr>
          <w:rFonts w:eastAsia="Arial" w:cs="Arial" w:ascii="Arial" w:hAnsi="Arial"/>
          <w:b/>
          <w:bCs/>
          <w:i w:val="false"/>
          <w:iCs w:val="false"/>
          <w:sz w:val="24"/>
          <w:szCs w:val="24"/>
        </w:rPr>
        <w:t>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Engagement Management process does not have a single completion point. It runs continuously for the duration of the active mentoring relationship.</w:t>
      </w:r>
    </w:p>
    <w:p>
      <w:pPr>
        <w:pStyle w:val="Normal"/>
        <w:spacing w:before="0" w:after="40"/>
        <w:rPr/>
      </w:pPr>
      <w:r>
        <w:rPr>
          <w:rFonts w:eastAsia="Arial" w:cs="Arial"/>
          <w:b/>
          <w:bCs/>
          <w:i w:val="false"/>
          <w:iCs w:val="false"/>
          <w:sz w:val="22"/>
          <w:szCs w:val="22"/>
        </w:rPr>
        <w:t>End State: Formal Closure (Completed)</w:t>
      </w:r>
    </w:p>
    <w:p>
      <w:pPr>
        <w:pStyle w:val="Normal"/>
        <w:spacing w:before="0" w:after="120"/>
        <w:rPr/>
      </w:pPr>
      <w:r>
        <w:rPr>
          <w:rFonts w:eastAsia="Arial" w:cs="Arial"/>
          <w:b w:val="false"/>
          <w:bCs w:val="false"/>
          <w:i w:val="false"/>
          <w:iCs w:val="false"/>
          <w:sz w:val="22"/>
          <w:szCs w:val="22"/>
        </w:rPr>
        <w:t>The engagement is formally closed through the Engagement Closure process (MN-CLOSE) when the mentor or Client Administrator determines the engagement has run its course. The Engagement status transitions to Completed.</w:t>
      </w:r>
    </w:p>
    <w:p>
      <w:pPr>
        <w:pStyle w:val="Normal"/>
        <w:spacing w:before="0" w:after="40"/>
        <w:rPr/>
      </w:pPr>
      <w:r>
        <w:rPr>
          <w:rFonts w:eastAsia="Arial" w:cs="Arial"/>
          <w:b/>
          <w:bCs/>
          <w:i w:val="false"/>
          <w:iCs w:val="false"/>
          <w:sz w:val="22"/>
          <w:szCs w:val="22"/>
        </w:rPr>
        <w:t>End State: System-Initiated Closure (Abandoned)</w:t>
      </w:r>
    </w:p>
    <w:p>
      <w:pPr>
        <w:pStyle w:val="Normal"/>
        <w:spacing w:before="0" w:after="120"/>
        <w:rPr/>
      </w:pPr>
      <w:r>
        <w:rPr>
          <w:rFonts w:eastAsia="Arial" w:cs="Arial"/>
          <w:b w:val="false"/>
          <w:bCs w:val="false"/>
          <w:i w:val="false"/>
          <w:iCs w:val="false"/>
          <w:sz w:val="22"/>
          <w:szCs w:val="22"/>
        </w:rPr>
        <w:t>If the engagement becomes inactive and progresses through the Dormant and Inactive stages without qualifying activity, the Activity Monitoring process (MN-INACTIVE) automatically transitions the Engagement to Abandoned status.</w:t>
      </w:r>
    </w:p>
    <w:p>
      <w:pPr>
        <w:pStyle w:val="Normal"/>
        <w:spacing w:before="0" w:after="40"/>
        <w:rPr/>
      </w:pPr>
      <w:r>
        <w:rPr>
          <w:rFonts w:eastAsia="Arial" w:cs="Arial"/>
          <w:b/>
          <w:bCs/>
          <w:i w:val="false"/>
          <w:iCs w:val="false"/>
          <w:sz w:val="22"/>
          <w:szCs w:val="22"/>
        </w:rPr>
        <w:t>On-Hold (Temporary Pause)</w:t>
      </w:r>
    </w:p>
    <w:p>
      <w:pPr>
        <w:pStyle w:val="Normal"/>
        <w:spacing w:before="0" w:after="120"/>
        <w:rPr/>
      </w:pPr>
      <w:r>
        <w:rPr>
          <w:rFonts w:eastAsia="Arial" w:cs="Arial"/>
          <w:b w:val="false"/>
          <w:bCs w:val="false"/>
          <w:i w:val="false"/>
          <w:iCs w:val="false"/>
          <w:sz w:val="22"/>
          <w:szCs w:val="22"/>
        </w:rPr>
        <w:t>On-Hold is not an end state — it is a temporary pause. The engagement remains in this process and resumes when the mentor returns the status to Active. If the pause extends indefinitely, the mentor may move the engagement to closure through MN-CLOSE.</w:t>
      </w:r>
    </w:p>
    <w:p>
      <w:pPr>
        <w:pStyle w:val="Normal"/>
        <w:spacing w:before="0" w:after="40"/>
        <w:rPr/>
      </w:pPr>
      <w:r>
        <w:rPr>
          <w:rFonts w:eastAsia="Arial" w:cs="Arial"/>
          <w:b/>
          <w:bCs/>
          <w:i w:val="false"/>
          <w:iCs w:val="false"/>
          <w:sz w:val="22"/>
          <w:szCs w:val="22"/>
        </w:rPr>
        <w:t>Who Declares Completion</w:t>
      </w:r>
    </w:p>
    <w:p>
      <w:pPr>
        <w:pStyle w:val="Normal"/>
        <w:spacing w:before="0" w:after="120"/>
        <w:rPr/>
      </w:pPr>
      <w:r>
        <w:rPr>
          <w:rFonts w:eastAsia="Arial" w:cs="Arial"/>
          <w:b w:val="false"/>
          <w:bCs w:val="false"/>
          <w:i w:val="false"/>
          <w:iCs w:val="false"/>
          <w:sz w:val="22"/>
          <w:szCs w:val="22"/>
        </w:rPr>
        <w:t>This process does not declare its own completion. Exit is triggered by other processes: the mentor or Client Administrator initiates closure (MN-CLOSE), or the system initiates closure through inactivity monitoring (MN-INACTIVE).</w:t>
      </w:r>
    </w:p>
    <w:p>
      <w:pPr>
        <w:pStyle w:val="Normal"/>
        <w:spacing w:before="0" w:after="40"/>
        <w:rPr/>
      </w:pPr>
      <w:r>
        <w:rPr>
          <w:rFonts w:eastAsia="Arial" w:cs="Arial"/>
          <w:b/>
          <w:bCs/>
          <w:i w:val="false"/>
          <w:iCs w:val="false"/>
          <w:sz w:val="22"/>
          <w:szCs w:val="22"/>
        </w:rPr>
        <w:t>Early Termination</w:t>
      </w:r>
    </w:p>
    <w:p>
      <w:pPr>
        <w:pStyle w:val="Normal"/>
        <w:spacing w:before="0" w:after="120"/>
        <w:rPr/>
      </w:pPr>
      <w:r>
        <w:rPr>
          <w:rFonts w:eastAsia="Arial" w:cs="Arial"/>
          <w:b w:val="false"/>
          <w:bCs w:val="false"/>
          <w:i w:val="false"/>
          <w:iCs w:val="false"/>
          <w:sz w:val="22"/>
          <w:szCs w:val="22"/>
        </w:rPr>
        <w:t>If a mentor becomes incapacitated, the Client Administrator intervenes. Reassignment is handled through MN-MATCH; termination through MN-CLOSE. All session records and engagement data are preserved regardless of how the engagement ends.</w:t>
      </w:r>
    </w:p>
    <w:p>
      <w:pPr>
        <w:pStyle w:val="Normal"/>
        <w:spacing w:before="0" w:after="40"/>
        <w:rPr/>
      </w:pPr>
      <w:r>
        <w:rPr>
          <w:rFonts w:eastAsia="Arial" w:cs="Arial"/>
          <w:b/>
          <w:bCs/>
          <w:i w:val="false"/>
          <w:iCs w:val="false"/>
          <w:sz w:val="22"/>
          <w:szCs w:val="22"/>
        </w:rPr>
        <w:t>Post-Completion Handoffs</w:t>
      </w:r>
    </w:p>
    <w:p>
      <w:pPr>
        <w:pStyle w:val="Normal"/>
        <w:spacing w:before="0" w:after="120"/>
        <w:rPr/>
      </w:pPr>
      <w:r>
        <w:rPr>
          <w:rFonts w:eastAsia="Arial" w:cs="Arial"/>
          <w:b w:val="false"/>
          <w:bCs w:val="false"/>
          <w:i w:val="false"/>
          <w:iCs w:val="false"/>
          <w:sz w:val="22"/>
          <w:szCs w:val="22"/>
        </w:rPr>
        <w:t>Engagement Closure (MN-CLOSE) handles formal closure, outcome documentation, and the Closed Engagement Survey. Activity Monitoring (MN-INACTIVE) runs concurrently and uses the roll-up analytics from this process. Client Satisfaction Tracking (MN-SURVEY) triggers surveys based on session counts from this process.</w:t>
      </w:r>
    </w:p>
    <w:p>
      <w:pPr>
        <w:pStyle w:val="Heading3"/>
        <w:spacing w:before="240" w:after="120"/>
        <w:rPr/>
      </w:pPr>
      <w:r>
        <w:rPr>
          <w:rFonts w:eastAsia="Arial" w:cs="Arial" w:ascii="Arial" w:hAnsi="Arial"/>
          <w:b/>
          <w:bCs/>
          <w:i w:val="false"/>
          <w:iCs w:val="false"/>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transition Engagement status from Assigned to Active automatically when the first Session status is changed to Completed.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automatically create a new Session record, calendar event, and meeting request with video conferencing link when Next Session Date/Time is set on a completed Session. TO: Primary Engagement Contact, CC: other Engagement Contacts (if any), plus all assigned mentors as attendees.</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generate a draft session summary email for mentor review before sending. TO: Primary Engagement Contact, CC: other Engagement Contacts (if any).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calculate and display roll-up analytics: total sessions, total session hours, sessions in last 30 days, and last session date.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placing an Engagement On-Hold with a required Engagement Note and a required Hold End Date, and support manual return to Active.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adding Additional Mentors to an Engagement at any time.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Session statuses: Scheduled, Completed, Canceled by Client, Canceled by Mentor, Missed by Client, Rescheduled by Client, Rescheduled by Mentor. Sessions are never deleted.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preserve Session records on reschedule — original retains rescheduled status, new Session created.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assign the submitting contact from Client Intake as an Engagement Contact automatically at Engagement creation.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MN-ENGAGE-REQ-010</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support multiple concurrent engagements per client organization and per mentor.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restrict Engagement Notes to Client Administrator, Mentor Administrator, and assigned mentors. Never visible to clients.</w:t>
            </w:r>
          </w:p>
        </w:tc>
      </w:tr>
    </w:tbl>
    <w:p>
      <w:pPr>
        <w:pStyle w:val="Heading3"/>
        <w:spacing w:before="240" w:after="120"/>
        <w:rPr/>
      </w:pPr>
      <w:r>
        <w:rPr>
          <w:rFonts w:eastAsia="Arial" w:cs="Arial" w:ascii="Arial" w:hAnsi="Arial"/>
          <w:b/>
          <w:bCs/>
          <w:i w:val="false"/>
          <w:iCs w:val="false"/>
          <w:sz w:val="24"/>
          <w:szCs w:val="24"/>
        </w:rPr>
        <w:t>Process Data</w:t>
      </w:r>
    </w:p>
    <w:p>
      <w:pPr>
        <w:pStyle w:val="Normal"/>
        <w:spacing w:before="0" w:after="120"/>
        <w:rPr/>
      </w:pPr>
      <w:r>
        <w:rPr>
          <w:rFonts w:eastAsia="Arial" w:cs="Arial"/>
          <w:b w:val="false"/>
          <w:bCs w:val="false"/>
          <w:i w:val="false"/>
          <w:iCs w:val="false"/>
          <w:sz w:val="22"/>
          <w:szCs w:val="22"/>
        </w:rPr>
        <w:t>This process reads the following fields as supporting context. See Section 4 (Data Reference) for full field-level detail.</w:t>
      </w:r>
    </w:p>
    <w:p>
      <w:pPr>
        <w:pStyle w:val="Normal"/>
        <w:spacing w:before="0" w:after="120"/>
        <w:rPr/>
      </w:pPr>
      <w:r>
        <w:rPr>
          <w:rFonts w:eastAsia="Arial" w:cs="Arial"/>
          <w:b w:val="false"/>
          <w:bCs w:val="false"/>
          <w:i w:val="false"/>
          <w:iCs w:val="false"/>
          <w:sz w:val="22"/>
          <w:szCs w:val="22"/>
        </w:rPr>
        <w:t>Client Organization: Business Name (MN-ENGAGE-DAT-004), Website (DAT-005), Address (DAT-006).</w:t>
      </w:r>
    </w:p>
    <w:p>
      <w:pPr>
        <w:pStyle w:val="Normal"/>
        <w:spacing w:before="0" w:after="120"/>
        <w:rPr/>
      </w:pPr>
      <w:r>
        <w:rPr>
          <w:rFonts w:eastAsia="Arial" w:cs="Arial"/>
          <w:b w:val="false"/>
          <w:bCs w:val="false"/>
          <w:i w:val="false"/>
          <w:iCs w:val="false"/>
          <w:sz w:val="22"/>
          <w:szCs w:val="22"/>
        </w:rPr>
        <w:t>Client Contact: First Name (MN-ENGAGE-DAT-007), Last Name (DAT-008), Preferred Name (DAT-009), Email (DAT-010), Phone (DAT-011).</w:t>
      </w:r>
    </w:p>
    <w:p>
      <w:pPr>
        <w:pStyle w:val="Normal"/>
        <w:spacing w:before="0" w:after="120"/>
        <w:rPr/>
      </w:pPr>
      <w:r>
        <w:rPr>
          <w:rFonts w:eastAsia="Arial" w:cs="Arial"/>
          <w:b w:val="false"/>
          <w:bCs w:val="false"/>
          <w:i w:val="false"/>
          <w:iCs w:val="false"/>
          <w:sz w:val="22"/>
          <w:szCs w:val="22"/>
        </w:rPr>
        <w:t>Engagement: Mentoring Focus Areas (MN-ENGAGE-DAT-012), Mentoring Needs Description (DAT-013).</w:t>
      </w:r>
    </w:p>
    <w:p>
      <w:pPr>
        <w:pStyle w:val="Heading3"/>
        <w:spacing w:before="240" w:after="120"/>
        <w:rPr/>
      </w:pPr>
      <w:r>
        <w:rPr>
          <w:rFonts w:eastAsia="Arial" w:cs="Arial" w:ascii="Arial" w:hAnsi="Arial"/>
          <w:b/>
          <w:bCs/>
          <w:i w:val="false"/>
          <w:iCs w:val="false"/>
          <w:sz w:val="24"/>
          <w:szCs w:val="24"/>
        </w:rPr>
        <w:t>Data Collected</w:t>
      </w:r>
    </w:p>
    <w:p>
      <w:pPr>
        <w:pStyle w:val="Normal"/>
        <w:spacing w:before="0" w:after="120"/>
        <w:rPr/>
      </w:pPr>
      <w:r>
        <w:rPr>
          <w:rFonts w:eastAsia="Arial" w:cs="Arial"/>
          <w:b w:val="false"/>
          <w:bCs w:val="false"/>
          <w:i w:val="false"/>
          <w:iCs w:val="false"/>
          <w:sz w:val="22"/>
          <w:szCs w:val="22"/>
        </w:rPr>
        <w:t>This process creates or updates the following fields. See Section 4 (Data Reference) for full field-level detail.</w:t>
      </w:r>
    </w:p>
    <w:p>
      <w:pPr>
        <w:pStyle w:val="Normal"/>
        <w:spacing w:before="0" w:after="120"/>
        <w:rPr/>
      </w:pPr>
      <w:r>
        <w:rPr>
          <w:rFonts w:eastAsia="Arial" w:cs="Arial"/>
          <w:b w:val="false"/>
          <w:bCs w:val="false"/>
          <w:i w:val="false"/>
          <w:iCs w:val="false"/>
          <w:sz w:val="22"/>
          <w:szCs w:val="22"/>
        </w:rPr>
        <w:t>Engagement: Meeting Cadence (MN-ENGAGE-DAT-014), Additional Mentors (DAT-015), Engagement Notes (DAT-016), Hold End Date (DAT-036), Status (DAT-017), Total Sessions (DAT-018), Total Sessions Last 30 Days (DAT-019), Last Session Date (DAT-020), Total Session Hours (DAT-021), Next Session Date/Time (DAT-022), Primary Engagement Contact (DAT-038).</w:t>
      </w:r>
    </w:p>
    <w:p>
      <w:pPr>
        <w:pStyle w:val="Normal"/>
        <w:spacing w:before="0" w:after="120"/>
        <w:rPr/>
      </w:pPr>
      <w:r>
        <w:rPr>
          <w:rFonts w:eastAsia="Arial" w:cs="Arial"/>
          <w:b w:val="false"/>
          <w:bCs w:val="false"/>
          <w:i w:val="false"/>
          <w:iCs w:val="false"/>
          <w:sz w:val="22"/>
          <w:szCs w:val="22"/>
        </w:rPr>
        <w:t>Session: Session Date/Time (MN-ENGAGE-DAT-023), Status (DAT-024), Duration (DAT-025), Session Type (DAT-026), Meeting Location Type (DAT-027), Location Details (DAT-028), Topics Covered (DAT-029), Session Notes (DAT-030), Next Steps (DAT-031), Next Session Date/Time (DAT-033), Mentor Attendees (DAT-034), Client Attendees (DAT-035).</w:t>
      </w:r>
    </w:p>
    <w:p>
      <w:pPr>
        <w:pStyle w:val="Normal"/>
        <w:rPr/>
      </w:pPr>
      <w:r>
        <w:rPr/>
      </w:r>
      <w:r>
        <w:br w:type="page"/>
      </w:r>
    </w:p>
    <w:p>
      <w:pPr>
        <w:pStyle w:val="Heading2"/>
        <w:spacing w:before="0" w:after="120"/>
        <w:rPr/>
      </w:pPr>
      <w:r>
        <w:rPr>
          <w:rFonts w:eastAsia="Arial" w:cs="Arial" w:ascii="Arial" w:hAnsi="Arial"/>
          <w:b/>
          <w:bCs/>
          <w:i w:val="false"/>
          <w:iCs w:val="false"/>
          <w:sz w:val="28"/>
          <w:szCs w:val="28"/>
        </w:rPr>
        <w:t>3.4 Activity Monitoring (MN-INACTIVE)</w:t>
      </w:r>
    </w:p>
    <w:p>
      <w:pPr>
        <w:pStyle w:val="Normal"/>
        <w:spacing w:before="0" w:after="200"/>
        <w:rPr/>
      </w:pPr>
      <w:r>
        <w:rPr>
          <w:rFonts w:eastAsia="Arial" w:cs="Arial"/>
          <w:b w:val="false"/>
          <w:bCs w:val="false"/>
          <w:i/>
          <w:iCs/>
          <w:color w:val="888888"/>
          <w:sz w:val="22"/>
          <w:szCs w:val="22"/>
        </w:rPr>
        <w:t>Tier: Core | Version: 1.2 | Last Updated: 04-01-26 05:00</w:t>
      </w:r>
    </w:p>
    <w:p>
      <w:pPr>
        <w:pStyle w:val="Heading3"/>
        <w:spacing w:before="240" w:after="120"/>
        <w:rPr/>
      </w:pPr>
      <w:r>
        <w:rPr>
          <w:rFonts w:eastAsia="Arial" w:cs="Arial" w:ascii="Arial" w:hAnsi="Arial"/>
          <w:b/>
          <w:bCs/>
          <w:i w:val="false"/>
          <w:iCs w:val="false"/>
          <w:sz w:val="24"/>
          <w:szCs w:val="24"/>
        </w:rPr>
        <w:t>Process Purpose</w:t>
      </w:r>
    </w:p>
    <w:p>
      <w:pPr>
        <w:pStyle w:val="Normal"/>
        <w:spacing w:before="0" w:after="120"/>
        <w:rPr/>
      </w:pPr>
      <w:r>
        <w:rPr>
          <w:rFonts w:eastAsia="Arial" w:cs="Arial"/>
          <w:b w:val="false"/>
          <w:bCs w:val="false"/>
          <w:i w:val="false"/>
          <w:iCs w:val="false"/>
          <w:sz w:val="22"/>
          <w:szCs w:val="22"/>
        </w:rPr>
        <w:t>The Activity Monitoring process ensures that client engagements continue to be serviced in a timely manner. It runs as a continuous background process that monitors all Active and On-Hold engagements for inactivity, and takes automated escalation actions when engagements stall.</w:t>
      </w:r>
    </w:p>
    <w:p>
      <w:pPr>
        <w:pStyle w:val="Normal"/>
        <w:spacing w:before="0" w:after="120"/>
        <w:rPr/>
      </w:pPr>
      <w:r>
        <w:rPr>
          <w:rFonts w:eastAsia="Arial" w:cs="Arial"/>
          <w:b w:val="false"/>
          <w:bCs w:val="false"/>
          <w:i w:val="false"/>
          <w:iCs w:val="false"/>
          <w:sz w:val="22"/>
          <w:szCs w:val="22"/>
        </w:rPr>
        <w:t>The process uses cadence-based thresholds to detect inactivity and progresses engagements through three escalation stages — Dormant, Inactive, and Abandoned — providing visible warning periods during which the Assigned Mentor or Client Administrator can intervene.</w:t>
      </w:r>
    </w:p>
    <w:p>
      <w:pPr>
        <w:pStyle w:val="Heading3"/>
        <w:spacing w:before="240" w:after="120"/>
        <w:rPr/>
      </w:pPr>
      <w:r>
        <w:rPr>
          <w:rFonts w:eastAsia="Arial" w:cs="Arial" w:ascii="Arial" w:hAnsi="Arial"/>
          <w:b/>
          <w:bCs/>
          <w:i w:val="false"/>
          <w:iCs w:val="false"/>
          <w:sz w:val="24"/>
          <w:szCs w:val="24"/>
        </w:rPr>
        <w:t>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The Activity Monitoring process runs concurrently with active engagements. It does not require a specific prior process to complete. Any Engagement at Active or On-Hold status is subject to monitoring.</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The daily scan requires: Status must be Active or On-Hold. Meeting Cadence must be set (Weekly, Bi-Weekly, Monthly, or As Needed). Next Session Date/Time must be populated (for Active engagements) or Hold End Date must be populated (for On-Hold engagements).</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Automatic. The system runs a daily automated scan of all qualifying engagements. No manual action is required.</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System. The daily scan is initiated automatically with no human intervention.</w:t>
      </w:r>
    </w:p>
    <w:p>
      <w:pPr>
        <w:pStyle w:val="Heading3"/>
        <w:spacing w:before="240" w:after="120"/>
        <w:rPr/>
      </w:pPr>
      <w:r>
        <w:rPr>
          <w:rFonts w:eastAsia="Arial" w:cs="Arial" w:ascii="Arial" w:hAnsi="Arial"/>
          <w:b/>
          <w:bCs/>
          <w:i w:val="false"/>
          <w:iCs w:val="false"/>
          <w:sz w:val="24"/>
          <w:szCs w:val="24"/>
        </w:rPr>
        <w:t>Personas Involved</w:t>
      </w:r>
    </w:p>
    <w:p>
      <w:pPr>
        <w:pStyle w:val="Normal"/>
        <w:spacing w:before="0" w:after="40"/>
        <w:rPr/>
      </w:pPr>
      <w:r>
        <w:rPr>
          <w:rFonts w:eastAsia="Arial" w:cs="Arial"/>
          <w:b/>
          <w:bCs/>
          <w:i w:val="false"/>
          <w:iCs w:val="false"/>
          <w:sz w:val="22"/>
          <w:szCs w:val="22"/>
        </w:rPr>
        <w:t>System</w:t>
      </w:r>
    </w:p>
    <w:p>
      <w:pPr>
        <w:pStyle w:val="Normal"/>
        <w:spacing w:before="0" w:after="120"/>
        <w:rPr/>
      </w:pPr>
      <w:r>
        <w:rPr>
          <w:rFonts w:eastAsia="Arial" w:cs="Arial"/>
          <w:b w:val="false"/>
          <w:bCs w:val="false"/>
          <w:i w:val="false"/>
          <w:iCs w:val="false"/>
          <w:sz w:val="22"/>
          <w:szCs w:val="22"/>
        </w:rPr>
        <w:t>Runs the daily inactivity scan, calculates thresholds, transitions statuses, and sends notifications at the Dormant and Inactive transitions.</w:t>
      </w:r>
    </w:p>
    <w:p>
      <w:pPr>
        <w:pStyle w:val="Normal"/>
        <w:spacing w:before="0" w:after="40"/>
        <w:rPr/>
      </w:pPr>
      <w:r>
        <w:rPr>
          <w:rFonts w:eastAsia="Arial" w:cs="Arial"/>
          <w:b/>
          <w:bCs/>
          <w:i w:val="false"/>
          <w:iCs w:val="false"/>
          <w:sz w:val="22"/>
          <w:szCs w:val="22"/>
        </w:rPr>
        <w:t>Assigned Mentor (MST-PER-011)</w:t>
      </w:r>
    </w:p>
    <w:p>
      <w:pPr>
        <w:pStyle w:val="Normal"/>
        <w:spacing w:before="0" w:after="120"/>
        <w:rPr/>
      </w:pPr>
      <w:r>
        <w:rPr>
          <w:rFonts w:eastAsia="Arial" w:cs="Arial"/>
          <w:b w:val="false"/>
          <w:bCs w:val="false"/>
          <w:i w:val="false"/>
          <w:iCs w:val="false"/>
          <w:sz w:val="22"/>
          <w:szCs w:val="22"/>
        </w:rPr>
        <w:t>Receives Dormant/Inactive notifications. Can schedule or complete sessions to reset the inactivity clock, or manually revert the status to Active.</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Receives Dormant/Inactive notifications. Has full authority to override any status transition, revert statuses, or push an engagement directly to closure.</w:t>
      </w:r>
    </w:p>
    <w:p>
      <w:pPr>
        <w:pStyle w:val="Normal"/>
        <w:spacing w:before="0" w:after="40"/>
        <w:rPr/>
      </w:pPr>
      <w:r>
        <w:rPr>
          <w:rFonts w:eastAsia="Arial" w:cs="Arial"/>
          <w:b/>
          <w:bCs/>
          <w:i w:val="false"/>
          <w:iCs w:val="false"/>
          <w:sz w:val="22"/>
          <w:szCs w:val="22"/>
        </w:rPr>
        <w:t>Mentor Administrator (MST-PER-005)</w:t>
      </w:r>
    </w:p>
    <w:p>
      <w:pPr>
        <w:pStyle w:val="Normal"/>
        <w:spacing w:before="0" w:after="120"/>
        <w:rPr/>
      </w:pPr>
      <w:r>
        <w:rPr>
          <w:rFonts w:eastAsia="Arial" w:cs="Arial"/>
          <w:b w:val="false"/>
          <w:bCs w:val="false"/>
          <w:i w:val="false"/>
          <w:iCs w:val="false"/>
          <w:sz w:val="22"/>
          <w:szCs w:val="22"/>
        </w:rPr>
        <w:t>Has access to filtered views and the Engagement Health dashboard for trend monitoring across mentors. Does not receive automated notifications.</w:t>
      </w:r>
    </w:p>
    <w:p>
      <w:pPr>
        <w:pStyle w:val="Normal"/>
        <w:spacing w:before="0" w:after="40"/>
        <w:rPr/>
      </w:pPr>
      <w:r>
        <w:rPr>
          <w:rFonts w:eastAsia="Arial" w:cs="Arial"/>
          <w:b/>
          <w:bCs/>
          <w:i w:val="false"/>
          <w:iCs w:val="false"/>
          <w:sz w:val="22"/>
          <w:szCs w:val="22"/>
        </w:rPr>
        <w:t>Executive Member (MST-PER-002)</w:t>
      </w:r>
    </w:p>
    <w:p>
      <w:pPr>
        <w:pStyle w:val="Normal"/>
        <w:spacing w:before="0" w:after="120"/>
        <w:rPr/>
      </w:pPr>
      <w:r>
        <w:rPr>
          <w:rFonts w:eastAsia="Arial" w:cs="Arial"/>
          <w:b w:val="false"/>
          <w:bCs w:val="false"/>
          <w:i w:val="false"/>
          <w:iCs w:val="false"/>
          <w:sz w:val="22"/>
          <w:szCs w:val="22"/>
        </w:rPr>
        <w:t>Has access to the Engagement Health dashboard for organizational health monitoring. Does not receive notifications or participate in individual interventions.</w:t>
      </w:r>
    </w:p>
    <w:p>
      <w:pPr>
        <w:pStyle w:val="Heading3"/>
        <w:spacing w:before="240" w:after="120"/>
        <w:rPr/>
      </w:pPr>
      <w:r>
        <w:rPr>
          <w:rFonts w:eastAsia="Arial" w:cs="Arial" w:ascii="Arial" w:hAnsi="Arial"/>
          <w:b/>
          <w:bCs/>
          <w:i w:val="false"/>
          <w:iCs w:val="false"/>
          <w:sz w:val="24"/>
          <w:szCs w:val="24"/>
        </w:rPr>
        <w:t>Process Workflow</w:t>
      </w:r>
    </w:p>
    <w:p>
      <w:pPr>
        <w:pStyle w:val="ListParagraph"/>
        <w:numPr>
          <w:ilvl w:val="0"/>
          <w:numId w:val="10"/>
        </w:numPr>
        <w:spacing w:before="0" w:after="80"/>
        <w:rPr/>
      </w:pPr>
      <w:r>
        <w:rPr>
          <w:rFonts w:eastAsia="Arial" w:cs="Arial"/>
          <w:b w:val="false"/>
          <w:bCs w:val="false"/>
          <w:i w:val="false"/>
          <w:iCs w:val="false"/>
          <w:sz w:val="22"/>
          <w:szCs w:val="22"/>
        </w:rPr>
        <w:t>The system runs a daily automated scan of all engagements at Active or On-Hold status.</w:t>
      </w:r>
    </w:p>
    <w:p>
      <w:pPr>
        <w:pStyle w:val="ListParagraph"/>
        <w:numPr>
          <w:ilvl w:val="0"/>
          <w:numId w:val="4"/>
        </w:numPr>
        <w:spacing w:before="0" w:after="80"/>
        <w:rPr/>
      </w:pPr>
      <w:r>
        <w:rPr>
          <w:rFonts w:eastAsia="Arial" w:cs="Arial"/>
          <w:b w:val="false"/>
          <w:bCs w:val="false"/>
          <w:i w:val="false"/>
          <w:iCs w:val="false"/>
          <w:sz w:val="22"/>
          <w:szCs w:val="22"/>
        </w:rPr>
        <w:t>For Active engagements, the system compares today’s date against Next Session Date/Time using the Meeting Cadence as the base period (Weekly = 7 days, Bi-Weekly = 14 days, Monthly = 30 days, As Needed = configurable system default). For On-Hold engagements, the comparison uses Hold End Date. The escalation multiplier is a configurable system variable (default: 2x).</w:t>
      </w:r>
    </w:p>
    <w:p>
      <w:pPr>
        <w:pStyle w:val="ListParagraph"/>
        <w:numPr>
          <w:ilvl w:val="0"/>
          <w:numId w:val="4"/>
        </w:numPr>
        <w:spacing w:before="0" w:after="80"/>
        <w:rPr/>
      </w:pPr>
      <w:r>
        <w:rPr>
          <w:rFonts w:eastAsia="Arial" w:cs="Arial"/>
          <w:b w:val="false"/>
          <w:bCs w:val="false"/>
          <w:i w:val="false"/>
          <w:iCs w:val="false"/>
          <w:sz w:val="22"/>
          <w:szCs w:val="22"/>
        </w:rPr>
        <w:t>If elapsed time exceeds 1x the multiplier times cadence: status transitions to Dormant. Notification sent to Assigned Mentor and Client Administrator with stage name, Business Name, Primary Engagement Contact name, and direct link to the Engagement record.</w:t>
      </w:r>
    </w:p>
    <w:p>
      <w:pPr>
        <w:pStyle w:val="ListParagraph"/>
        <w:numPr>
          <w:ilvl w:val="0"/>
          <w:numId w:val="4"/>
        </w:numPr>
        <w:spacing w:before="0" w:after="80"/>
        <w:rPr/>
      </w:pPr>
      <w:r>
        <w:rPr>
          <w:rFonts w:eastAsia="Arial" w:cs="Arial"/>
          <w:b w:val="false"/>
          <w:bCs w:val="false"/>
          <w:i w:val="false"/>
          <w:iCs w:val="false"/>
          <w:sz w:val="22"/>
          <w:szCs w:val="22"/>
        </w:rPr>
        <w:t>If elapsed time exceeds 2x the multiplier times cadence: status transitions from Dormant to Inactive. Same notification content.</w:t>
      </w:r>
    </w:p>
    <w:p>
      <w:pPr>
        <w:pStyle w:val="ListParagraph"/>
        <w:numPr>
          <w:ilvl w:val="0"/>
          <w:numId w:val="4"/>
        </w:numPr>
        <w:spacing w:before="0" w:after="80"/>
        <w:rPr/>
      </w:pPr>
      <w:r>
        <w:rPr>
          <w:rFonts w:eastAsia="Arial" w:cs="Arial"/>
          <w:b w:val="false"/>
          <w:bCs w:val="false"/>
          <w:i w:val="false"/>
          <w:iCs w:val="false"/>
          <w:sz w:val="22"/>
          <w:szCs w:val="22"/>
        </w:rPr>
        <w:t>If elapsed time exceeds 3x the multiplier times cadence: status transitions from Inactive to Abandoned. Close Date is populated and Close Reason set to “Inactive / No Response.” No notification is sent.</w:t>
      </w:r>
    </w:p>
    <w:p>
      <w:pPr>
        <w:pStyle w:val="ListParagraph"/>
        <w:numPr>
          <w:ilvl w:val="0"/>
          <w:numId w:val="4"/>
        </w:numPr>
        <w:spacing w:before="0" w:after="80"/>
        <w:rPr/>
      </w:pPr>
      <w:r>
        <w:rPr>
          <w:rFonts w:eastAsia="Arial" w:cs="Arial"/>
          <w:b w:val="false"/>
          <w:bCs w:val="false"/>
          <w:i w:val="false"/>
          <w:iCs w:val="false"/>
          <w:sz w:val="22"/>
          <w:szCs w:val="22"/>
        </w:rPr>
        <w:t>At any point during Dormant or Inactive, the Assigned Mentor or Client Administrator may schedule or complete a session, which updates Next Session Date/Time and returns the Engagement to Active.</w:t>
      </w:r>
    </w:p>
    <w:p>
      <w:pPr>
        <w:pStyle w:val="ListParagraph"/>
        <w:numPr>
          <w:ilvl w:val="0"/>
          <w:numId w:val="4"/>
        </w:numPr>
        <w:spacing w:before="0" w:after="80"/>
        <w:rPr/>
      </w:pPr>
      <w:r>
        <w:rPr>
          <w:rFonts w:eastAsia="Arial" w:cs="Arial"/>
          <w:b w:val="false"/>
          <w:bCs w:val="false"/>
          <w:i w:val="false"/>
          <w:iCs w:val="false"/>
          <w:sz w:val="22"/>
          <w:szCs w:val="22"/>
        </w:rPr>
        <w:t>If the Assigned Mentor manually reverts status to Active without scheduling a session, the system displays a warning message.</w:t>
      </w:r>
    </w:p>
    <w:p>
      <w:pPr>
        <w:pStyle w:val="Heading3"/>
        <w:spacing w:before="240" w:after="120"/>
        <w:rPr/>
      </w:pPr>
      <w:r>
        <w:rPr>
          <w:rFonts w:eastAsia="Arial" w:cs="Arial" w:ascii="Arial" w:hAnsi="Arial"/>
          <w:b/>
          <w:bCs/>
          <w:i w:val="false"/>
          <w:iCs w:val="false"/>
          <w:sz w:val="24"/>
          <w:szCs w:val="24"/>
        </w:rPr>
        <w:t>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Activity Monitoring process is a continuous background process that runs daily. It does not have a single completion point.</w:t>
      </w:r>
    </w:p>
    <w:p>
      <w:pPr>
        <w:pStyle w:val="Normal"/>
        <w:spacing w:before="0" w:after="40"/>
        <w:rPr/>
      </w:pPr>
      <w:r>
        <w:rPr>
          <w:rFonts w:eastAsia="Arial" w:cs="Arial"/>
          <w:b/>
          <w:bCs/>
          <w:i w:val="false"/>
          <w:iCs w:val="false"/>
          <w:sz w:val="22"/>
          <w:szCs w:val="22"/>
        </w:rPr>
        <w:t>End State: Reset to Active (Per Engagement)</w:t>
      </w:r>
    </w:p>
    <w:p>
      <w:pPr>
        <w:pStyle w:val="Normal"/>
        <w:spacing w:before="0" w:after="120"/>
        <w:rPr/>
      </w:pPr>
      <w:r>
        <w:rPr>
          <w:rFonts w:eastAsia="Arial" w:cs="Arial"/>
          <w:b w:val="false"/>
          <w:bCs w:val="false"/>
          <w:i w:val="false"/>
          <w:iCs w:val="false"/>
          <w:sz w:val="22"/>
          <w:szCs w:val="22"/>
        </w:rPr>
        <w:t>Qualifying activity (completed session or scheduled future session) updates Next Session Date/Time and returns the engagement to Active. The inactivity calculation resets.</w:t>
      </w:r>
    </w:p>
    <w:p>
      <w:pPr>
        <w:pStyle w:val="Normal"/>
        <w:spacing w:before="0" w:after="40"/>
        <w:rPr/>
      </w:pPr>
      <w:r>
        <w:rPr>
          <w:rFonts w:eastAsia="Arial" w:cs="Arial"/>
          <w:b/>
          <w:bCs/>
          <w:i w:val="false"/>
          <w:iCs w:val="false"/>
          <w:sz w:val="22"/>
          <w:szCs w:val="22"/>
        </w:rPr>
        <w:t>End State: Abandoned (Per Engagement)</w:t>
      </w:r>
    </w:p>
    <w:p>
      <w:pPr>
        <w:pStyle w:val="Normal"/>
        <w:spacing w:before="0" w:after="120"/>
        <w:rPr/>
      </w:pPr>
      <w:r>
        <w:rPr>
          <w:rFonts w:eastAsia="Arial" w:cs="Arial"/>
          <w:b w:val="false"/>
          <w:bCs w:val="false"/>
          <w:i w:val="false"/>
          <w:iCs w:val="false"/>
          <w:sz w:val="22"/>
          <w:szCs w:val="22"/>
        </w:rPr>
        <w:t>The engagement progresses through all three escalation stages without qualifying activity. The system sets status to Abandoned, populates Close Date, and sets Close Reason to “Inactive / No Response.”</w:t>
      </w:r>
    </w:p>
    <w:p>
      <w:pPr>
        <w:pStyle w:val="Normal"/>
        <w:spacing w:before="0" w:after="40"/>
        <w:rPr/>
      </w:pPr>
      <w:r>
        <w:rPr>
          <w:rFonts w:eastAsia="Arial" w:cs="Arial"/>
          <w:b/>
          <w:bCs/>
          <w:i w:val="false"/>
          <w:iCs w:val="false"/>
          <w:sz w:val="22"/>
          <w:szCs w:val="22"/>
        </w:rPr>
        <w:t>End State: External Closure (Per Engagement)</w:t>
      </w:r>
    </w:p>
    <w:p>
      <w:pPr>
        <w:pStyle w:val="Normal"/>
        <w:spacing w:before="0" w:after="120"/>
        <w:rPr/>
      </w:pPr>
      <w:r>
        <w:rPr>
          <w:rFonts w:eastAsia="Arial" w:cs="Arial"/>
          <w:b w:val="false"/>
          <w:bCs w:val="false"/>
          <w:i w:val="false"/>
          <w:iCs w:val="false"/>
          <w:sz w:val="22"/>
          <w:szCs w:val="22"/>
        </w:rPr>
        <w:t>The engagement is closed through MN-CLOSE before the inactivity pipeline completes. Status transitions to Completed, removing it from the monitoring pool.</w:t>
      </w:r>
    </w:p>
    <w:p>
      <w:pPr>
        <w:pStyle w:val="Normal"/>
        <w:spacing w:before="0" w:after="40"/>
        <w:rPr/>
      </w:pPr>
      <w:r>
        <w:rPr>
          <w:rFonts w:eastAsia="Arial" w:cs="Arial"/>
          <w:b/>
          <w:bCs/>
          <w:i w:val="false"/>
          <w:iCs w:val="false"/>
          <w:sz w:val="22"/>
          <w:szCs w:val="22"/>
        </w:rPr>
        <w:t>Post-Completion Handoffs</w:t>
      </w:r>
    </w:p>
    <w:p>
      <w:pPr>
        <w:pStyle w:val="Normal"/>
        <w:spacing w:before="0" w:after="120"/>
        <w:rPr/>
      </w:pPr>
      <w:r>
        <w:rPr>
          <w:rFonts w:eastAsia="Arial" w:cs="Arial"/>
          <w:b w:val="false"/>
          <w:bCs w:val="false"/>
          <w:i w:val="false"/>
          <w:iCs w:val="false"/>
          <w:sz w:val="22"/>
          <w:szCs w:val="22"/>
        </w:rPr>
        <w:t>Engagements reaching Abandoned are closed by this process with no further handoff. Engagements closed through MN-CLOSE exit the monitoring pool and are handled by MN-CLOSE.</w:t>
      </w:r>
    </w:p>
    <w:p>
      <w:pPr>
        <w:pStyle w:val="Heading3"/>
        <w:spacing w:before="240" w:after="120"/>
        <w:rPr/>
      </w:pPr>
      <w:r>
        <w:rPr>
          <w:rFonts w:eastAsia="Arial" w:cs="Arial" w:ascii="Arial" w:hAnsi="Arial"/>
          <w:b/>
          <w:bCs/>
          <w:i w:val="false"/>
          <w:iCs w:val="false"/>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run a daily automated scan of all engagements at Active or On-Hold status.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calculate inactivity thresholds using Meeting Cadence as the base period and a configurable escalation multiplier (default: 2x). Dormant at 1x multiplier, Inactive at 2x, Abandoned at 3x.</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transition to Dormant and notify with Business Name and Primary Engagement Contact name.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transition to Inactive and notify with the same content.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transition to Abandoned, populate Close Date, and set Close Reason. No notification.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allow manual revert from Dormant/Inactive to Active with a warning if no session is scheduled.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reset the inactivity calculation when Next Session Date/Time is updated to a future date.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filtered views of Dormant and Inactive engagements for Client Administrator and Mentor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a configurable default cadence period for As Needed engagements.</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MN-INACTIVE-REQ-010</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a configurable escalation multiplier (default: 2x).</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provide two configurable notification templates (Dormant and Inactive) with stage name and direct link.</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MN-INACTIVE-REQ-012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an Engagement Health dashboard with pipeline status counts, accessible to Client Administrator, Mentor Administrator, and Executive Member.</w:t>
            </w:r>
          </w:p>
        </w:tc>
      </w:tr>
    </w:tbl>
    <w:p>
      <w:pPr>
        <w:pStyle w:val="Heading3"/>
        <w:spacing w:before="240" w:after="120"/>
        <w:rPr/>
      </w:pPr>
      <w:r>
        <w:rPr>
          <w:rFonts w:eastAsia="Arial" w:cs="Arial" w:ascii="Arial" w:hAnsi="Arial"/>
          <w:b/>
          <w:bCs/>
          <w:i w:val="false"/>
          <w:iCs w:val="false"/>
          <w:sz w:val="24"/>
          <w:szCs w:val="24"/>
        </w:rPr>
        <w:t>Process Data</w:t>
      </w:r>
    </w:p>
    <w:p>
      <w:pPr>
        <w:pStyle w:val="Normal"/>
        <w:spacing w:before="0" w:after="120"/>
        <w:rPr/>
      </w:pPr>
      <w:r>
        <w:rPr>
          <w:rFonts w:eastAsia="Arial" w:cs="Arial"/>
          <w:b w:val="false"/>
          <w:bCs w:val="false"/>
          <w:i w:val="false"/>
          <w:iCs w:val="false"/>
          <w:sz w:val="22"/>
          <w:szCs w:val="22"/>
        </w:rPr>
        <w:t>This process reads the following fields during the daily scan. See Section 4 (Data Reference) for full field-level detail.</w:t>
      </w:r>
    </w:p>
    <w:p>
      <w:pPr>
        <w:pStyle w:val="Normal"/>
        <w:spacing w:before="0" w:after="120"/>
        <w:rPr/>
      </w:pPr>
      <w:r>
        <w:rPr>
          <w:rFonts w:eastAsia="Arial" w:cs="Arial"/>
          <w:b w:val="false"/>
          <w:bCs w:val="false"/>
          <w:i w:val="false"/>
          <w:iCs w:val="false"/>
          <w:sz w:val="22"/>
          <w:szCs w:val="22"/>
        </w:rPr>
        <w:t>Engagement: Status (MN-INACTIVE-DAT-001), Meeting Cadence (DAT-002), Next Session Date/Time (DAT-003), Hold End Date (DAT-004), Assigned Mentor (DAT-005), Last Session Date (DAT-006), Total Sessions Last 30 Days (DAT-007), Total Sessions (DAT-008), Primary Engagement Contact (DAT-015).</w:t>
      </w:r>
    </w:p>
    <w:p>
      <w:pPr>
        <w:pStyle w:val="Normal"/>
        <w:spacing w:before="0" w:after="120"/>
        <w:rPr/>
      </w:pPr>
      <w:r>
        <w:rPr>
          <w:rFonts w:eastAsia="Arial" w:cs="Arial"/>
          <w:b w:val="false"/>
          <w:bCs w:val="false"/>
          <w:i w:val="false"/>
          <w:iCs w:val="false"/>
          <w:sz w:val="22"/>
          <w:szCs w:val="22"/>
        </w:rPr>
        <w:t>Client Organization: Business Name (MN-INACTIVE-DAT-009).</w:t>
      </w:r>
    </w:p>
    <w:p>
      <w:pPr>
        <w:pStyle w:val="Normal"/>
        <w:spacing w:before="0" w:after="120"/>
        <w:rPr/>
      </w:pPr>
      <w:r>
        <w:rPr>
          <w:rFonts w:eastAsia="Arial" w:cs="Arial"/>
          <w:b w:val="false"/>
          <w:bCs w:val="false"/>
          <w:i w:val="false"/>
          <w:iCs w:val="false"/>
          <w:sz w:val="22"/>
          <w:szCs w:val="22"/>
        </w:rPr>
        <w:t>Client Contact: First Name (MN-INACTIVE-DAT-010), Last Name (DAT-011).</w:t>
      </w:r>
    </w:p>
    <w:p>
      <w:pPr>
        <w:pStyle w:val="Heading3"/>
        <w:spacing w:before="240" w:after="120"/>
        <w:rPr/>
      </w:pPr>
      <w:r>
        <w:rPr>
          <w:rFonts w:eastAsia="Arial" w:cs="Arial" w:ascii="Arial" w:hAnsi="Arial"/>
          <w:b/>
          <w:bCs/>
          <w:i w:val="false"/>
          <w:iCs w:val="false"/>
          <w:sz w:val="24"/>
          <w:szCs w:val="24"/>
        </w:rPr>
        <w:t>Data Collected</w:t>
      </w:r>
    </w:p>
    <w:p>
      <w:pPr>
        <w:pStyle w:val="Normal"/>
        <w:spacing w:before="0" w:after="120"/>
        <w:rPr/>
      </w:pPr>
      <w:r>
        <w:rPr>
          <w:rFonts w:eastAsia="Arial" w:cs="Arial"/>
          <w:b w:val="false"/>
          <w:bCs w:val="false"/>
          <w:i w:val="false"/>
          <w:iCs w:val="false"/>
          <w:sz w:val="22"/>
          <w:szCs w:val="22"/>
        </w:rPr>
        <w:t>This process updates the following fields. See Section 4 (Data Reference) for full field-level detail.</w:t>
      </w:r>
    </w:p>
    <w:p>
      <w:pPr>
        <w:pStyle w:val="Normal"/>
        <w:spacing w:before="0" w:after="120"/>
        <w:rPr/>
      </w:pPr>
      <w:r>
        <w:rPr>
          <w:rFonts w:eastAsia="Arial" w:cs="Arial"/>
          <w:b w:val="false"/>
          <w:bCs w:val="false"/>
          <w:i w:val="false"/>
          <w:iCs w:val="false"/>
          <w:sz w:val="22"/>
          <w:szCs w:val="22"/>
        </w:rPr>
        <w:t>Engagement: Status (MN-INACTIVE-DAT-012), Close Date (DAT-013), Close Reason (DAT-014).</w:t>
      </w:r>
    </w:p>
    <w:p>
      <w:pPr>
        <w:pStyle w:val="Normal"/>
        <w:rPr/>
      </w:pPr>
      <w:r>
        <w:rPr/>
      </w:r>
      <w:r>
        <w:br w:type="page"/>
      </w:r>
    </w:p>
    <w:p>
      <w:pPr>
        <w:pStyle w:val="Heading2"/>
        <w:spacing w:before="0" w:after="120"/>
        <w:rPr/>
      </w:pPr>
      <w:r>
        <w:rPr>
          <w:rFonts w:eastAsia="Arial" w:cs="Arial" w:ascii="Arial" w:hAnsi="Arial"/>
          <w:b/>
          <w:bCs/>
          <w:i w:val="false"/>
          <w:iCs w:val="false"/>
          <w:sz w:val="28"/>
          <w:szCs w:val="28"/>
        </w:rPr>
        <w:t>3.5 Engagement Closure (MN-CLOSE)</w:t>
      </w:r>
    </w:p>
    <w:p>
      <w:pPr>
        <w:pStyle w:val="Normal"/>
        <w:spacing w:before="0" w:after="200"/>
        <w:rPr/>
      </w:pPr>
      <w:r>
        <w:rPr>
          <w:rFonts w:eastAsia="Arial" w:cs="Arial"/>
          <w:b w:val="false"/>
          <w:bCs w:val="false"/>
          <w:i/>
          <w:iCs/>
          <w:color w:val="888888"/>
          <w:sz w:val="22"/>
          <w:szCs w:val="22"/>
        </w:rPr>
        <w:t>Tier: Important | Version: 1.1 | Last Updated: 04-01-26 05:00</w:t>
      </w:r>
    </w:p>
    <w:p>
      <w:pPr>
        <w:pStyle w:val="Heading3"/>
        <w:spacing w:before="240" w:after="120"/>
        <w:rPr/>
      </w:pPr>
      <w:r>
        <w:rPr>
          <w:rFonts w:eastAsia="Arial" w:cs="Arial" w:ascii="Arial" w:hAnsi="Arial"/>
          <w:b/>
          <w:bCs/>
          <w:i w:val="false"/>
          <w:iCs w:val="false"/>
          <w:sz w:val="24"/>
          <w:szCs w:val="24"/>
        </w:rPr>
        <w:t>Process Purpose</w:t>
      </w:r>
    </w:p>
    <w:p>
      <w:pPr>
        <w:pStyle w:val="Normal"/>
        <w:spacing w:before="0" w:after="120"/>
        <w:rPr/>
      </w:pPr>
      <w:r>
        <w:rPr>
          <w:rFonts w:eastAsia="Arial" w:cs="Arial"/>
          <w:b w:val="false"/>
          <w:bCs w:val="false"/>
          <w:i w:val="false"/>
          <w:iCs w:val="false"/>
          <w:sz w:val="22"/>
          <w:szCs w:val="22"/>
        </w:rPr>
        <w:t>The Engagement Closure process handles the formal closure of mentoring engagements. Its primary purpose is to document the results and outcomes of the engagement to support analytics, performance analysis, and funder impact reporting.</w:t>
      </w:r>
    </w:p>
    <w:p>
      <w:pPr>
        <w:pStyle w:val="Normal"/>
        <w:spacing w:before="0" w:after="120"/>
        <w:rPr/>
      </w:pPr>
      <w:r>
        <w:rPr>
          <w:rFonts w:eastAsia="Arial" w:cs="Arial"/>
          <w:b w:val="false"/>
          <w:bCs w:val="false"/>
          <w:i w:val="false"/>
          <w:iCs w:val="false"/>
          <w:sz w:val="22"/>
          <w:szCs w:val="22"/>
        </w:rPr>
        <w:t>The process is complete when the Engagement status has transitioned to Completed, the Close Reason has been recorded, engagement outcome data has been reviewed (and optionally completed), a Closed Engagement Survey has been sent to the Primary Engagement Contact, and the mentor has sent a thank-you communication.</w:t>
      </w:r>
    </w:p>
    <w:p>
      <w:pPr>
        <w:pStyle w:val="Heading3"/>
        <w:spacing w:before="240" w:after="120"/>
        <w:rPr/>
      </w:pPr>
      <w:r>
        <w:rPr>
          <w:rFonts w:eastAsia="Arial" w:cs="Arial" w:ascii="Arial" w:hAnsi="Arial"/>
          <w:b/>
          <w:bCs/>
          <w:i w:val="false"/>
          <w:iCs w:val="false"/>
          <w:sz w:val="24"/>
          <w:szCs w:val="24"/>
        </w:rPr>
        <w:t>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The Engagement must be at one of the following statuses: Active, On-Hold, Dormant, or Inactive. These are the only statuses eligible for closure through this process. Engagements at Submitted, Declined, Pending Acceptance, or Assigned have never been active and have no measurable outcomes. Engagements at Abandoned or Completed are already closed.</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The Engagement record must exist with one of the eligible statuses. No additional data is required to initiate closure, though Close Reason must be provided during the closure action.</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Manual. The mentor or Client Administrator changes the Engagement status to Completed. The system requires a Close Reason before the status change is accepted.</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Mentor (MST-PER-011) is the typical initiator. Client Administrator (MST-PER-003) may also initiate closure, including in cases of mentor incapacitation. No special approval is required.</w:t>
      </w:r>
    </w:p>
    <w:p>
      <w:pPr>
        <w:pStyle w:val="Heading3"/>
        <w:spacing w:before="240" w:after="120"/>
        <w:rPr/>
      </w:pPr>
      <w:r>
        <w:rPr>
          <w:rFonts w:eastAsia="Arial" w:cs="Arial" w:ascii="Arial" w:hAnsi="Arial"/>
          <w:b/>
          <w:bCs/>
          <w:i w:val="false"/>
          <w:iCs w:val="false"/>
          <w:sz w:val="24"/>
          <w:szCs w:val="24"/>
        </w:rPr>
        <w:t>Personas Involved</w:t>
      </w:r>
    </w:p>
    <w:p>
      <w:pPr>
        <w:pStyle w:val="Normal"/>
        <w:spacing w:before="0" w:after="40"/>
        <w:rPr/>
      </w:pPr>
      <w:r>
        <w:rPr>
          <w:rFonts w:eastAsia="Arial" w:cs="Arial"/>
          <w:b/>
          <w:bCs/>
          <w:i w:val="false"/>
          <w:iCs w:val="false"/>
          <w:sz w:val="22"/>
          <w:szCs w:val="22"/>
        </w:rPr>
        <w:t>Mentor (MST-PER-011)</w:t>
      </w:r>
    </w:p>
    <w:p>
      <w:pPr>
        <w:pStyle w:val="Normal"/>
        <w:spacing w:before="0" w:after="120"/>
        <w:rPr/>
      </w:pPr>
      <w:r>
        <w:rPr>
          <w:rFonts w:eastAsia="Arial" w:cs="Arial"/>
          <w:b w:val="false"/>
          <w:bCs w:val="false"/>
          <w:i w:val="false"/>
          <w:iCs w:val="false"/>
          <w:sz w:val="22"/>
          <w:szCs w:val="22"/>
        </w:rPr>
        <w:t>Primary actor. Initiates closure, provides Close Reason, reviews and completes engagement outcome data, and sends the thank-you communication. Selects recipients and adds personal comments to the system-generated email template.</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Alternate initiator. May close an engagement using the same workflow as the mentor, including in cases of mentor incapacitation. No difference in workflow regardless of who initiates.</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Receives the Closed Engagement Survey automatically and receives the thank-you communication. Does not actively participate in the closure workflow.</w:t>
      </w:r>
    </w:p>
    <w:p>
      <w:pPr>
        <w:pStyle w:val="Heading3"/>
        <w:spacing w:before="240" w:after="120"/>
        <w:rPr/>
      </w:pPr>
      <w:r>
        <w:rPr>
          <w:rFonts w:eastAsia="Arial" w:cs="Arial" w:ascii="Arial" w:hAnsi="Arial"/>
          <w:b/>
          <w:bCs/>
          <w:i w:val="false"/>
          <w:iCs w:val="false"/>
          <w:sz w:val="24"/>
          <w:szCs w:val="24"/>
        </w:rPr>
        <w:t>Process Workflow</w:t>
      </w:r>
    </w:p>
    <w:p>
      <w:pPr>
        <w:pStyle w:val="ListParagraph"/>
        <w:numPr>
          <w:ilvl w:val="0"/>
          <w:numId w:val="11"/>
        </w:numPr>
        <w:spacing w:before="0" w:after="80"/>
        <w:rPr/>
      </w:pPr>
      <w:r>
        <w:rPr>
          <w:rFonts w:eastAsia="Arial" w:cs="Arial"/>
          <w:b w:val="false"/>
          <w:bCs w:val="false"/>
          <w:i w:val="false"/>
          <w:iCs w:val="false"/>
          <w:sz w:val="22"/>
          <w:szCs w:val="22"/>
        </w:rPr>
        <w:t>The mentor (or Client Administrator) changes the Engagement status to Completed. The system validates the eligible status.</w:t>
      </w:r>
    </w:p>
    <w:p>
      <w:pPr>
        <w:pStyle w:val="ListParagraph"/>
        <w:numPr>
          <w:ilvl w:val="0"/>
          <w:numId w:val="5"/>
        </w:numPr>
        <w:spacing w:before="0" w:after="80"/>
        <w:rPr/>
      </w:pPr>
      <w:r>
        <w:rPr>
          <w:rFonts w:eastAsia="Arial" w:cs="Arial"/>
          <w:b w:val="false"/>
          <w:bCs w:val="false"/>
          <w:i w:val="false"/>
          <w:iCs w:val="false"/>
          <w:sz w:val="22"/>
          <w:szCs w:val="22"/>
        </w:rPr>
        <w:t>The system requires a Close Reason before the status change is accepted. Available values: Goals Achieved, Client Withdrew, Inactive / No Response, Other, and any additional values defined by organizational leadership.</w:t>
      </w:r>
    </w:p>
    <w:p>
      <w:pPr>
        <w:pStyle w:val="ListParagraph"/>
        <w:numPr>
          <w:ilvl w:val="0"/>
          <w:numId w:val="5"/>
        </w:numPr>
        <w:spacing w:before="0" w:after="80"/>
        <w:rPr/>
      </w:pPr>
      <w:r>
        <w:rPr>
          <w:rFonts w:eastAsia="Arial" w:cs="Arial"/>
          <w:b w:val="false"/>
          <w:bCs w:val="false"/>
          <w:i w:val="false"/>
          <w:iCs w:val="false"/>
          <w:sz w:val="22"/>
          <w:szCs w:val="22"/>
        </w:rPr>
        <w:t>The system automatically populates the Close Date with today’s date.</w:t>
      </w:r>
    </w:p>
    <w:p>
      <w:pPr>
        <w:pStyle w:val="ListParagraph"/>
        <w:numPr>
          <w:ilvl w:val="0"/>
          <w:numId w:val="5"/>
        </w:numPr>
        <w:spacing w:before="0" w:after="80"/>
        <w:rPr/>
      </w:pPr>
      <w:r>
        <w:rPr>
          <w:rFonts w:eastAsia="Arial" w:cs="Arial"/>
          <w:b w:val="false"/>
          <w:bCs w:val="false"/>
          <w:i w:val="false"/>
          <w:iCs w:val="false"/>
          <w:sz w:val="22"/>
          <w:szCs w:val="22"/>
        </w:rPr>
        <w:t>The system presents the engagement outcome fields for review and completion: New Business Started, New Location Opened, Significant Revenue Increase, Revenue Increase Percentage, Significant Employment Increase, and Employment Increase Percentage. Completion is encouraged but not enforced.</w:t>
      </w:r>
    </w:p>
    <w:p>
      <w:pPr>
        <w:pStyle w:val="ListParagraph"/>
        <w:numPr>
          <w:ilvl w:val="0"/>
          <w:numId w:val="5"/>
        </w:numPr>
        <w:spacing w:before="0" w:after="80"/>
        <w:rPr/>
      </w:pPr>
      <w:r>
        <w:rPr>
          <w:rFonts w:eastAsia="Arial" w:cs="Arial"/>
          <w:b w:val="false"/>
          <w:bCs w:val="false"/>
          <w:i w:val="false"/>
          <w:iCs w:val="false"/>
          <w:sz w:val="22"/>
          <w:szCs w:val="22"/>
        </w:rPr>
        <w:t>The system automatically sends a Closed Engagement Survey to the Primary Engagement Contact.</w:t>
      </w:r>
    </w:p>
    <w:p>
      <w:pPr>
        <w:pStyle w:val="ListParagraph"/>
        <w:numPr>
          <w:ilvl w:val="0"/>
          <w:numId w:val="5"/>
        </w:numPr>
        <w:spacing w:before="0" w:after="80"/>
        <w:rPr/>
      </w:pPr>
      <w:r>
        <w:rPr>
          <w:rFonts w:eastAsia="Arial" w:cs="Arial"/>
          <w:b w:val="false"/>
          <w:bCs w:val="false"/>
          <w:i w:val="false"/>
          <w:iCs w:val="false"/>
          <w:sz w:val="22"/>
          <w:szCs w:val="22"/>
        </w:rPr>
        <w:t>The system generates a thank-you email from a configurable template, defaulting TO the Primary Engagement Contact with other Engagement Contacts (if any) as CC. The mentor adds personal comments, may modify recipients, and sends it.</w:t>
      </w:r>
    </w:p>
    <w:p>
      <w:pPr>
        <w:pStyle w:val="ListParagraph"/>
        <w:numPr>
          <w:ilvl w:val="0"/>
          <w:numId w:val="5"/>
        </w:numPr>
        <w:spacing w:before="0" w:after="80"/>
        <w:rPr/>
      </w:pPr>
      <w:r>
        <w:rPr>
          <w:rFonts w:eastAsia="Arial" w:cs="Arial"/>
          <w:b w:val="false"/>
          <w:bCs w:val="false"/>
          <w:i w:val="false"/>
          <w:iCs w:val="false"/>
          <w:sz w:val="22"/>
          <w:szCs w:val="22"/>
        </w:rPr>
        <w:t>Remaining Scheduled sessions are not automatically canceled. The mentor handles them at their discretion.</w:t>
      </w:r>
    </w:p>
    <w:p>
      <w:pPr>
        <w:pStyle w:val="Heading3"/>
        <w:spacing w:before="240" w:after="120"/>
        <w:rPr/>
      </w:pPr>
      <w:r>
        <w:rPr>
          <w:rFonts w:eastAsia="Arial" w:cs="Arial" w:ascii="Arial" w:hAnsi="Arial"/>
          <w:b/>
          <w:bCs/>
          <w:i w:val="false"/>
          <w:iCs w:val="false"/>
          <w:sz w:val="24"/>
          <w:szCs w:val="24"/>
        </w:rPr>
        <w:t>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Engagement status transitions to Completed with a recorded Close Reason and system-populated Close Date. The Closed Engagement Survey has been sent and the thank-you communication has been sent by the mentor. Outcome data has been reviewed (completion is encouraged but not enforced).</w:t>
      </w:r>
    </w:p>
    <w:p>
      <w:pPr>
        <w:pStyle w:val="Normal"/>
        <w:spacing w:before="0" w:after="40"/>
        <w:rPr/>
      </w:pPr>
      <w:r>
        <w:rPr>
          <w:rFonts w:eastAsia="Arial" w:cs="Arial"/>
          <w:b/>
          <w:bCs/>
          <w:i w:val="false"/>
          <w:iCs w:val="false"/>
          <w:sz w:val="22"/>
          <w:szCs w:val="22"/>
        </w:rPr>
        <w:t>Reopening</w:t>
      </w:r>
    </w:p>
    <w:p>
      <w:pPr>
        <w:pStyle w:val="Normal"/>
        <w:spacing w:before="0" w:after="120"/>
        <w:rPr/>
      </w:pPr>
      <w:r>
        <w:rPr>
          <w:rFonts w:eastAsia="Arial" w:cs="Arial"/>
          <w:b w:val="false"/>
          <w:bCs w:val="false"/>
          <w:i w:val="false"/>
          <w:iCs w:val="false"/>
          <w:sz w:val="22"/>
          <w:szCs w:val="22"/>
        </w:rPr>
        <w:t>A Completed engagement may be reopened by the mentor at their discretion by changing the status back to Active. This is expected to be rare. Outcome data, Close Reason, and Close Date are retained on the record. The mentor may manually update these fields if appropriate. The system does not automatically clear any data on reopening.</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Engagement records, Session records, and closure data are retained permanently. Closure data remains on the record even if the engagement is later reopened.</w:t>
      </w:r>
    </w:p>
    <w:p>
      <w:pPr>
        <w:pStyle w:val="Normal"/>
        <w:spacing w:before="0" w:after="40"/>
        <w:rPr/>
      </w:pPr>
      <w:r>
        <w:rPr>
          <w:rFonts w:eastAsia="Arial" w:cs="Arial"/>
          <w:b/>
          <w:bCs/>
          <w:i w:val="false"/>
          <w:iCs w:val="false"/>
          <w:sz w:val="22"/>
          <w:szCs w:val="22"/>
        </w:rPr>
        <w:t>Post-Completion Handoffs</w:t>
      </w:r>
    </w:p>
    <w:p>
      <w:pPr>
        <w:pStyle w:val="Normal"/>
        <w:spacing w:before="0" w:after="120"/>
        <w:rPr/>
      </w:pPr>
      <w:r>
        <w:rPr>
          <w:rFonts w:eastAsia="Arial" w:cs="Arial"/>
          <w:b w:val="false"/>
          <w:bCs w:val="false"/>
          <w:i w:val="false"/>
          <w:iCs w:val="false"/>
          <w:sz w:val="22"/>
          <w:szCs w:val="22"/>
        </w:rPr>
        <w:t>The Closed Engagement Survey is specific to this process and distinct from periodic satisfaction surveys managed by MN-SURVEY. No other downstream processes are triggered by engagement closure.</w:t>
      </w:r>
    </w:p>
    <w:p>
      <w:pPr>
        <w:pStyle w:val="Heading3"/>
        <w:spacing w:before="240" w:after="120"/>
        <w:rPr/>
      </w:pPr>
      <w:r>
        <w:rPr>
          <w:rFonts w:eastAsia="Arial" w:cs="Arial" w:ascii="Arial" w:hAnsi="Arial"/>
          <w:b/>
          <w:bCs/>
          <w:i w:val="false"/>
          <w:iCs w:val="false"/>
          <w:sz w:val="24"/>
          <w:szCs w:val="24"/>
        </w:rPr>
        <w:t>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MN-CLOSE-REQ-001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allow closure by changing status to Completed. Only Active, On-Hold, Dormant, or Inactive engagements are eligible.</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require a Close Reason before the status change is accepted.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MN-CLOSE-REQ-003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populate Close Date on transition to Completed.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present engagement outcome fields at closure. Completion encouraged but not enforced.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MN-CLOSE-REQ-005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send a Closed Engagement Survey to the Primary Engagement Contact.</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system must provide a configurable thank-you email template. Default TO: Primary Engagement Contact, CC: other Engagement Contacts. Mentor may modify.</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MN-CLOSE-REQ-007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allow reopening a Completed engagement. Outcome data and Close Reason retained.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Engagement outcome fields must be accessible at any time during the lifecycle, not only at closure.</w:t>
            </w:r>
          </w:p>
        </w:tc>
      </w:tr>
    </w:tbl>
    <w:p>
      <w:pPr>
        <w:pStyle w:val="Heading3"/>
        <w:spacing w:before="240" w:after="120"/>
        <w:rPr/>
      </w:pPr>
      <w:r>
        <w:rPr>
          <w:rFonts w:eastAsia="Arial" w:cs="Arial" w:ascii="Arial" w:hAnsi="Arial"/>
          <w:b/>
          <w:bCs/>
          <w:i w:val="false"/>
          <w:iCs w:val="false"/>
          <w:sz w:val="24"/>
          <w:szCs w:val="24"/>
        </w:rPr>
        <w:t>Process Data</w:t>
      </w:r>
    </w:p>
    <w:p>
      <w:pPr>
        <w:pStyle w:val="Normal"/>
        <w:spacing w:before="0" w:after="120"/>
        <w:rPr/>
      </w:pPr>
      <w:r>
        <w:rPr>
          <w:rFonts w:eastAsia="Arial" w:cs="Arial"/>
          <w:b w:val="false"/>
          <w:bCs w:val="false"/>
          <w:i w:val="false"/>
          <w:iCs w:val="false"/>
          <w:sz w:val="22"/>
          <w:szCs w:val="22"/>
        </w:rPr>
        <w:t>This process reads the following fields as supporting context. See Section 4 (Data Reference) for full field-level detail.</w:t>
      </w:r>
    </w:p>
    <w:p>
      <w:pPr>
        <w:pStyle w:val="Normal"/>
        <w:spacing w:before="0" w:after="120"/>
        <w:rPr/>
      </w:pPr>
      <w:r>
        <w:rPr>
          <w:rFonts w:eastAsia="Arial" w:cs="Arial"/>
          <w:b w:val="false"/>
          <w:bCs w:val="false"/>
          <w:i w:val="false"/>
          <w:iCs w:val="false"/>
          <w:sz w:val="22"/>
          <w:szCs w:val="22"/>
        </w:rPr>
        <w:t>Engagement: Status (MN-CLOSE-DAT-001), Assigned Mentor (DAT-002), Additional Mentors (DAT-003), Engagement Contacts (DAT-004), Primary Engagement Contact (DAT-019).</w:t>
      </w:r>
    </w:p>
    <w:p>
      <w:pPr>
        <w:pStyle w:val="Normal"/>
        <w:spacing w:before="0" w:after="120"/>
        <w:rPr/>
      </w:pPr>
      <w:r>
        <w:rPr>
          <w:rFonts w:eastAsia="Arial" w:cs="Arial"/>
          <w:b w:val="false"/>
          <w:bCs w:val="false"/>
          <w:i w:val="false"/>
          <w:iCs w:val="false"/>
          <w:sz w:val="22"/>
          <w:szCs w:val="22"/>
        </w:rPr>
        <w:t>Client Organization: Business Name (MN-CLOSE-DAT-005).</w:t>
      </w:r>
    </w:p>
    <w:p>
      <w:pPr>
        <w:pStyle w:val="Normal"/>
        <w:spacing w:before="0" w:after="120"/>
        <w:rPr/>
      </w:pPr>
      <w:r>
        <w:rPr>
          <w:rFonts w:eastAsia="Arial" w:cs="Arial"/>
          <w:b w:val="false"/>
          <w:bCs w:val="false"/>
          <w:i w:val="false"/>
          <w:iCs w:val="false"/>
          <w:sz w:val="22"/>
          <w:szCs w:val="22"/>
        </w:rPr>
        <w:t>Client Contact: First Name (MN-CLOSE-DAT-006), Last Name (DAT-007), Email (DAT-008), Primary Contact (DAT-009).</w:t>
      </w:r>
    </w:p>
    <w:p>
      <w:pPr>
        <w:pStyle w:val="Heading3"/>
        <w:spacing w:before="240" w:after="120"/>
        <w:rPr/>
      </w:pPr>
      <w:r>
        <w:rPr>
          <w:rFonts w:eastAsia="Arial" w:cs="Arial" w:ascii="Arial" w:hAnsi="Arial"/>
          <w:b/>
          <w:bCs/>
          <w:i w:val="false"/>
          <w:iCs w:val="false"/>
          <w:sz w:val="24"/>
          <w:szCs w:val="24"/>
        </w:rPr>
        <w:t>Data Collected</w:t>
      </w:r>
    </w:p>
    <w:p>
      <w:pPr>
        <w:pStyle w:val="Normal"/>
        <w:spacing w:before="0" w:after="120"/>
        <w:rPr/>
      </w:pPr>
      <w:r>
        <w:rPr>
          <w:rFonts w:eastAsia="Arial" w:cs="Arial"/>
          <w:b w:val="false"/>
          <w:bCs w:val="false"/>
          <w:i w:val="false"/>
          <w:iCs w:val="false"/>
          <w:sz w:val="22"/>
          <w:szCs w:val="22"/>
        </w:rPr>
        <w:t>This process creates or updates the following fields. See Section 4 (Data Reference) for full field-level detail.</w:t>
      </w:r>
    </w:p>
    <w:p>
      <w:pPr>
        <w:pStyle w:val="Normal"/>
        <w:spacing w:before="0" w:after="120"/>
        <w:rPr/>
      </w:pPr>
      <w:r>
        <w:rPr>
          <w:rFonts w:eastAsia="Arial" w:cs="Arial"/>
          <w:b w:val="false"/>
          <w:bCs w:val="false"/>
          <w:i w:val="false"/>
          <w:iCs w:val="false"/>
          <w:sz w:val="22"/>
          <w:szCs w:val="22"/>
        </w:rPr>
        <w:t>Engagement: Status (MN-CLOSE-DAT-010), Close Date (DAT-011), Close Reason (DAT-012), New Business Started (DAT-013), New Location Opened (DAT-014), Significant Revenue Increase (DAT-015), Revenue Increase Percentage (DAT-016), Significant Employment Increase (DAT-017), Employment Increase Percentage (DAT-018).</w:t>
      </w:r>
    </w:p>
    <w:p>
      <w:pPr>
        <w:pStyle w:val="Normal"/>
        <w:rPr/>
      </w:pPr>
      <w:r>
        <w:rPr/>
      </w:r>
      <w:r>
        <w:br w:type="page"/>
      </w:r>
    </w:p>
    <w:p>
      <w:pPr>
        <w:pStyle w:val="Heading1"/>
        <w:spacing w:before="0" w:after="120"/>
        <w:rPr/>
      </w:pPr>
      <w:r>
        <w:rPr>
          <w:rFonts w:eastAsia="Arial" w:cs="Arial" w:ascii="Arial" w:hAnsi="Arial"/>
          <w:b/>
          <w:bCs/>
          <w:i w:val="false"/>
          <w:iCs w:val="false"/>
          <w:sz w:val="32"/>
          <w:szCs w:val="32"/>
        </w:rPr>
        <w:t>4. Data Reference</w:t>
      </w:r>
    </w:p>
    <w:p>
      <w:pPr>
        <w:pStyle w:val="Normal"/>
        <w:spacing w:before="0" w:after="120"/>
        <w:rPr/>
      </w:pPr>
      <w:r>
        <w:rPr>
          <w:rFonts w:eastAsia="Arial" w:cs="Arial"/>
          <w:b w:val="false"/>
          <w:bCs w:val="false"/>
          <w:i w:val="false"/>
          <w:iCs w:val="false"/>
          <w:sz w:val="22"/>
          <w:szCs w:val="22"/>
        </w:rPr>
        <w:t>This section provides a consolidated view of all data in the Mentoring domain, organized by entity. Each field is listed once with its authoritative definition and a reference to all processes that define or use it. The “Defined In” column traces each field to its originating process document(s).</w:t>
      </w:r>
    </w:p>
    <w:p>
      <w:pPr>
        <w:pStyle w:val="Normal"/>
        <w:spacing w:before="0" w:after="120"/>
        <w:rPr/>
      </w:pPr>
      <w:r>
        <w:rPr/>
      </w:r>
    </w:p>
    <w:p>
      <w:pPr>
        <w:pStyle w:val="Heading2"/>
      </w:pPr>
      <w:r>
        <w:t xml:space="preserve">Entity Relationships</w:t>
      </w:r>
    </w:p>
    <w:p>
      <w:r>
        <w:t xml:space="preserve">The relationships among entities in the Mentoring domain are summarized below. Relationships set the structural context within which the per-entity field tables that follow operate. The table is filtered to MN-domain-relevant relationships only; CR-only and FU-only Account and Contact relationships are documented in their respective Domain PRDs.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872"/>
        <w:gridCol w:w="1872"/>
        <w:gridCol w:w="1872"/>
        <w:gridCol w:w="1872"/>
        <w:gridCol w:w="1872"/>
      </w:tblGrid>
      <w:tr>
        <w:tc>
          <w:tcPr>
            <w:tcW w:type="dxa" w:w="1872"/>
          </w:tcPr>
          <w:p>
            <w:r>
              <w:t>Relationship</w:t>
            </w:r>
          </w:p>
        </w:tc>
        <w:tc>
          <w:tcPr>
            <w:tcW w:type="dxa" w:w="1872"/>
          </w:tcPr>
          <w:p>
            <w:r>
              <w:t>Related Entity</w:t>
            </w:r>
          </w:p>
        </w:tc>
        <w:tc>
          <w:tcPr>
            <w:tcW w:type="dxa" w:w="1872"/>
          </w:tcPr>
          <w:p>
            <w:r>
              <w:t>Link Type</w:t>
            </w:r>
          </w:p>
        </w:tc>
        <w:tc>
          <w:tcPr>
            <w:tcW w:type="dxa" w:w="1872"/>
          </w:tcPr>
          <w:p>
            <w:r>
              <w:t>YAML location</w:t>
            </w:r>
          </w:p>
        </w:tc>
        <w:tc>
          <w:tcPr>
            <w:tcW w:type="dxa" w:w="1872"/>
          </w:tcPr>
          <w:p>
            <w:r>
              <w:t>Domain(s)</w:t>
            </w:r>
          </w:p>
        </w:tc>
      </w:tr>
      <w:tr>
        <w:tc>
          <w:tcPr>
            <w:tcW w:type="dxa" w:w="1872"/>
          </w:tcPr>
          <w:p>
            <w:r>
              <w:t>Account ↔ Contact</w:t>
            </w:r>
          </w:p>
        </w:tc>
        <w:tc>
          <w:tcPr>
            <w:tcW w:type="dxa" w:w="1872"/>
          </w:tcPr>
          <w:p>
            <w:r>
              <w:t>(Account / Contact)</w:t>
            </w:r>
          </w:p>
        </w:tc>
        <w:tc>
          <w:tcPr>
            <w:tcW w:type="dxa" w:w="1872"/>
          </w:tcPr>
          <w:p>
            <w:r>
              <w:t>manyToMany</w:t>
            </w:r>
          </w:p>
        </w:tc>
        <w:tc>
          <w:tcPr>
            <w:tcW w:type="dxa" w:w="1872"/>
          </w:tcPr>
          <w:p>
            <w:r>
              <w:t>None — native to the platform</w:t>
            </w:r>
          </w:p>
        </w:tc>
        <w:tc>
          <w:tcPr>
            <w:tcW w:type="dxa" w:w="1872"/>
          </w:tcPr>
          <w:p>
            <w:r>
              <w:t>MN, CR, FU</w:t>
            </w:r>
          </w:p>
        </w:tc>
      </w:tr>
      <w:tr>
        <w:tc>
          <w:tcPr>
            <w:tcW w:type="dxa" w:w="1872"/>
          </w:tcPr>
          <w:p>
            <w:r>
              <w:t>Account → Engagement</w:t>
            </w:r>
          </w:p>
        </w:tc>
        <w:tc>
          <w:tcPr>
            <w:tcW w:type="dxa" w:w="1872"/>
          </w:tcPr>
          <w:p>
            <w:r>
              <w:t>Engagement</w:t>
            </w:r>
          </w:p>
        </w:tc>
        <w:tc>
          <w:tcPr>
            <w:tcW w:type="dxa" w:w="1872"/>
          </w:tcPr>
          <w:p>
            <w:r>
              <w:t>oneToMany</w:t>
            </w:r>
          </w:p>
        </w:tc>
        <w:tc>
          <w:tcPr>
            <w:tcW w:type="dxa" w:w="1872"/>
          </w:tcPr>
          <w:p>
            <w:r>
              <w:t>engagementClientOrganization in MN-Engagement.yaml</w:t>
            </w:r>
          </w:p>
        </w:tc>
        <w:tc>
          <w:tcPr>
            <w:tcW w:type="dxa" w:w="1872"/>
          </w:tcPr>
          <w:p>
            <w:r>
              <w:t>MN</w:t>
            </w:r>
          </w:p>
        </w:tc>
      </w:tr>
      <w:tr>
        <w:tc>
          <w:tcPr>
            <w:tcW w:type="dxa" w:w="1872"/>
          </w:tcPr>
          <w:p>
            <w:r>
              <w:t>Engagement → Contact (Assigned Mentor)</w:t>
            </w:r>
          </w:p>
        </w:tc>
        <w:tc>
          <w:tcPr>
            <w:tcW w:type="dxa" w:w="1872"/>
          </w:tcPr>
          <w:p>
            <w:r>
              <w:t>Contact</w:t>
            </w:r>
          </w:p>
        </w:tc>
        <w:tc>
          <w:tcPr>
            <w:tcW w:type="dxa" w:w="1872"/>
          </w:tcPr>
          <w:p>
            <w:r>
              <w:t>manyToOne</w:t>
            </w:r>
          </w:p>
        </w:tc>
        <w:tc>
          <w:tcPr>
            <w:tcW w:type="dxa" w:w="1872"/>
          </w:tcPr>
          <w:p>
            <w:r>
              <w:t>engagementAssignedMentor in MN-Engagement.yaml</w:t>
            </w:r>
          </w:p>
        </w:tc>
        <w:tc>
          <w:tcPr>
            <w:tcW w:type="dxa" w:w="1872"/>
          </w:tcPr>
          <w:p>
            <w:r>
              <w:t>MN</w:t>
            </w:r>
          </w:p>
        </w:tc>
      </w:tr>
      <w:tr>
        <w:tc>
          <w:tcPr>
            <w:tcW w:type="dxa" w:w="1872"/>
          </w:tcPr>
          <w:p>
            <w:r>
              <w:t>Engagement → Contact (Primary Engagement Contact)</w:t>
            </w:r>
          </w:p>
        </w:tc>
        <w:tc>
          <w:tcPr>
            <w:tcW w:type="dxa" w:w="1872"/>
          </w:tcPr>
          <w:p>
            <w:r>
              <w:t>Contact</w:t>
            </w:r>
          </w:p>
        </w:tc>
        <w:tc>
          <w:tcPr>
            <w:tcW w:type="dxa" w:w="1872"/>
          </w:tcPr>
          <w:p>
            <w:r>
              <w:t>manyToOne</w:t>
            </w:r>
          </w:p>
        </w:tc>
        <w:tc>
          <w:tcPr>
            <w:tcW w:type="dxa" w:w="1872"/>
          </w:tcPr>
          <w:p>
            <w:r>
              <w:t>engagementPrimaryEngagementContact in MN-Engagement.yaml</w:t>
            </w:r>
          </w:p>
        </w:tc>
        <w:tc>
          <w:tcPr>
            <w:tcW w:type="dxa" w:w="1872"/>
          </w:tcPr>
          <w:p>
            <w:r>
              <w:t>MN</w:t>
            </w:r>
          </w:p>
        </w:tc>
      </w:tr>
      <w:tr>
        <w:tc>
          <w:tcPr>
            <w:tcW w:type="dxa" w:w="1872"/>
          </w:tcPr>
          <w:p>
            <w:r>
              <w:t>Engagement ↔ Contact (Engagement Contacts)</w:t>
            </w:r>
          </w:p>
        </w:tc>
        <w:tc>
          <w:tcPr>
            <w:tcW w:type="dxa" w:w="1872"/>
          </w:tcPr>
          <w:p>
            <w:r>
              <w:t>Contact</w:t>
            </w:r>
          </w:p>
        </w:tc>
        <w:tc>
          <w:tcPr>
            <w:tcW w:type="dxa" w:w="1872"/>
          </w:tcPr>
          <w:p>
            <w:r>
              <w:t>manyToMany</w:t>
            </w:r>
          </w:p>
        </w:tc>
        <w:tc>
          <w:tcPr>
            <w:tcW w:type="dxa" w:w="1872"/>
          </w:tcPr>
          <w:p>
            <w:r>
              <w:t>engagementContacts in MN-Engagement.yaml</w:t>
            </w:r>
          </w:p>
        </w:tc>
        <w:tc>
          <w:tcPr>
            <w:tcW w:type="dxa" w:w="1872"/>
          </w:tcPr>
          <w:p>
            <w:r>
              <w:t>MN</w:t>
            </w:r>
          </w:p>
        </w:tc>
      </w:tr>
      <w:tr>
        <w:tc>
          <w:tcPr>
            <w:tcW w:type="dxa" w:w="1872"/>
          </w:tcPr>
          <w:p>
            <w:r>
              <w:t>Engagement ↔ Contact (Additional Mentors)</w:t>
            </w:r>
          </w:p>
        </w:tc>
        <w:tc>
          <w:tcPr>
            <w:tcW w:type="dxa" w:w="1872"/>
          </w:tcPr>
          <w:p>
            <w:r>
              <w:t>Contact</w:t>
            </w:r>
          </w:p>
        </w:tc>
        <w:tc>
          <w:tcPr>
            <w:tcW w:type="dxa" w:w="1872"/>
          </w:tcPr>
          <w:p>
            <w:r>
              <w:t>manyToMany</w:t>
            </w:r>
          </w:p>
        </w:tc>
        <w:tc>
          <w:tcPr>
            <w:tcW w:type="dxa" w:w="1872"/>
          </w:tcPr>
          <w:p>
            <w:r>
              <w:t>engagementAdditionalMentors in MN-Engagement.yaml</w:t>
            </w:r>
          </w:p>
        </w:tc>
        <w:tc>
          <w:tcPr>
            <w:tcW w:type="dxa" w:w="1872"/>
          </w:tcPr>
          <w:p>
            <w:r>
              <w:t>MN</w:t>
            </w:r>
          </w:p>
        </w:tc>
      </w:tr>
      <w:tr>
        <w:tc>
          <w:tcPr>
            <w:tcW w:type="dxa" w:w="1872"/>
          </w:tcPr>
          <w:p>
            <w:r>
              <w:t>Engagement → Contact (Requested Mentor)</w:t>
            </w:r>
          </w:p>
        </w:tc>
        <w:tc>
          <w:tcPr>
            <w:tcW w:type="dxa" w:w="1872"/>
          </w:tcPr>
          <w:p>
            <w:r>
              <w:t>Contact</w:t>
            </w:r>
          </w:p>
        </w:tc>
        <w:tc>
          <w:tcPr>
            <w:tcW w:type="dxa" w:w="1872"/>
          </w:tcPr>
          <w:p>
            <w:r>
              <w:t>manyToOne</w:t>
            </w:r>
          </w:p>
        </w:tc>
        <w:tc>
          <w:tcPr>
            <w:tcW w:type="dxa" w:w="1872"/>
          </w:tcPr>
          <w:p>
            <w:r>
              <w:t>engagementRequestedMentor in MN-Engagement.yaml</w:t>
            </w:r>
          </w:p>
        </w:tc>
        <w:tc>
          <w:tcPr>
            <w:tcW w:type="dxa" w:w="1872"/>
          </w:tcPr>
          <w:p>
            <w:r>
              <w:t>MN</w:t>
            </w:r>
          </w:p>
        </w:tc>
      </w:tr>
      <w:tr>
        <w:tc>
          <w:tcPr>
            <w:tcW w:type="dxa" w:w="1872"/>
          </w:tcPr>
          <w:p>
            <w:r>
              <w:t>Engagement → Account (Referring Partner)</w:t>
            </w:r>
          </w:p>
        </w:tc>
        <w:tc>
          <w:tcPr>
            <w:tcW w:type="dxa" w:w="1872"/>
          </w:tcPr>
          <w:p>
            <w:r>
              <w:t>Account</w:t>
            </w:r>
          </w:p>
        </w:tc>
        <w:tc>
          <w:tcPr>
            <w:tcW w:type="dxa" w:w="1872"/>
          </w:tcPr>
          <w:p>
            <w:r>
              <w:t>manyToOne</w:t>
            </w:r>
          </w:p>
        </w:tc>
        <w:tc>
          <w:tcPr>
            <w:tcW w:type="dxa" w:w="1872"/>
          </w:tcPr>
          <w:p>
            <w:r>
              <w:t>engagementReferringPartner in MN-Engagement.yaml</w:t>
            </w:r>
          </w:p>
        </w:tc>
        <w:tc>
          <w:tcPr>
            <w:tcW w:type="dxa" w:w="1872"/>
          </w:tcPr>
          <w:p>
            <w:r>
              <w:t>CR (touched by MN)</w:t>
            </w:r>
          </w:p>
        </w:tc>
      </w:tr>
      <w:tr>
        <w:tc>
          <w:tcPr>
            <w:tcW w:type="dxa" w:w="1872"/>
          </w:tcPr>
          <w:p>
            <w:r>
              <w:t>Engagement → Session</w:t>
            </w:r>
          </w:p>
        </w:tc>
        <w:tc>
          <w:tcPr>
            <w:tcW w:type="dxa" w:w="1872"/>
          </w:tcPr>
          <w:p>
            <w:r>
              <w:t>Session</w:t>
            </w:r>
          </w:p>
        </w:tc>
        <w:tc>
          <w:tcPr>
            <w:tcW w:type="dxa" w:w="1872"/>
          </w:tcPr>
          <w:p>
            <w:r>
              <w:t>oneToMany</w:t>
            </w:r>
          </w:p>
        </w:tc>
        <w:tc>
          <w:tcPr>
            <w:tcW w:type="dxa" w:w="1872"/>
          </w:tcPr>
          <w:p>
            <w:r>
              <w:t>None — native parent link via Event entity type</w:t>
            </w:r>
          </w:p>
        </w:tc>
        <w:tc>
          <w:tcPr>
            <w:tcW w:type="dxa" w:w="1872"/>
          </w:tcPr>
          <w:p>
            <w:r>
              <w:t>MN</w:t>
            </w:r>
          </w:p>
        </w:tc>
      </w:tr>
      <w:tr>
        <w:tc>
          <w:tcPr>
            <w:tcW w:type="dxa" w:w="1872"/>
          </w:tcPr>
          <w:p>
            <w:r>
              <w:t>Session ↔ Contact (Mentor Attendees)</w:t>
            </w:r>
          </w:p>
        </w:tc>
        <w:tc>
          <w:tcPr>
            <w:tcW w:type="dxa" w:w="1872"/>
          </w:tcPr>
          <w:p>
            <w:r>
              <w:t>Contact</w:t>
            </w:r>
          </w:p>
        </w:tc>
        <w:tc>
          <w:tcPr>
            <w:tcW w:type="dxa" w:w="1872"/>
          </w:tcPr>
          <w:p>
            <w:r>
              <w:t>manyToMany</w:t>
            </w:r>
          </w:p>
        </w:tc>
        <w:tc>
          <w:tcPr>
            <w:tcW w:type="dxa" w:w="1872"/>
          </w:tcPr>
          <w:p>
            <w:r>
              <w:t>sessionMentorAttendees in MN-Session.yaml</w:t>
            </w:r>
          </w:p>
        </w:tc>
        <w:tc>
          <w:tcPr>
            <w:tcW w:type="dxa" w:w="1872"/>
          </w:tcPr>
          <w:p>
            <w:r>
              <w:t>MN</w:t>
            </w:r>
          </w:p>
        </w:tc>
      </w:tr>
      <w:tr>
        <w:tc>
          <w:tcPr>
            <w:tcW w:type="dxa" w:w="1872"/>
          </w:tcPr>
          <w:p>
            <w:r>
              <w:t>Session ↔ Contact (Client Attendees)</w:t>
            </w:r>
          </w:p>
        </w:tc>
        <w:tc>
          <w:tcPr>
            <w:tcW w:type="dxa" w:w="1872"/>
          </w:tcPr>
          <w:p>
            <w:r>
              <w:t>Contact</w:t>
            </w:r>
          </w:p>
        </w:tc>
        <w:tc>
          <w:tcPr>
            <w:tcW w:type="dxa" w:w="1872"/>
          </w:tcPr>
          <w:p>
            <w:r>
              <w:t>manyToMany</w:t>
            </w:r>
          </w:p>
        </w:tc>
        <w:tc>
          <w:tcPr>
            <w:tcW w:type="dxa" w:w="1872"/>
          </w:tcPr>
          <w:p>
            <w:r>
              <w:t>sessionClientAttendees in MN-Session.yaml</w:t>
            </w:r>
          </w:p>
        </w:tc>
        <w:tc>
          <w:tcPr>
            <w:tcW w:type="dxa" w:w="1872"/>
          </w:tcPr>
          <w:p>
            <w:r>
              <w:t>MN</w:t>
            </w:r>
          </w:p>
        </w:tc>
      </w:tr>
      <w:tr>
        <w:tc>
          <w:tcPr>
            <w:tcW w:type="dxa" w:w="1872"/>
          </w:tcPr>
          <w:p>
            <w:r>
              <w:t>Session → Session (Rescheduled From)</w:t>
            </w:r>
          </w:p>
        </w:tc>
        <w:tc>
          <w:tcPr>
            <w:tcW w:type="dxa" w:w="1872"/>
          </w:tcPr>
          <w:p>
            <w:r>
              <w:t>Session</w:t>
            </w:r>
          </w:p>
        </w:tc>
        <w:tc>
          <w:tcPr>
            <w:tcW w:type="dxa" w:w="1872"/>
          </w:tcPr>
          <w:p>
            <w:r>
              <w:t>manyToOne (self-ref)</w:t>
            </w:r>
          </w:p>
        </w:tc>
        <w:tc>
          <w:tcPr>
            <w:tcW w:type="dxa" w:w="1872"/>
          </w:tcPr>
          <w:p>
            <w:r>
              <w:t>sessionRescheduledFrom in MN-Session.yaml</w:t>
            </w:r>
          </w:p>
        </w:tc>
        <w:tc>
          <w:tcPr>
            <w:tcW w:type="dxa" w:w="1872"/>
          </w:tcPr>
          <w:p>
            <w:r>
              <w:t>MN</w:t>
            </w:r>
          </w:p>
        </w:tc>
      </w:tr>
    </w:tbl>
    <w:p>
      <w:r>
        <w:t xml:space="preserve">Note on the Account ↔ Contact relationship: This relationship is provided natively by the underlying platform’s Person/Company entity types and requires no YAML declaration. The only domain-specific customization is the “primaryContact” boolean on the relationship middle table (per Account Entity PRD v1.8 ACT-DEC-001 and Contact Entity PRD v1.7), which is captured as post-deployment configuration in MN-MC-DD-001. The “Primary Contact” designation (MN-INTAKE-DAT-016 / MN-INTAKE-DAT-018) is implemented via this relationship-level boolean.</w:t>
      </w:r>
    </w:p>
    <w:p>
      <w:r>
        <w:t xml:space="preserve">Note on the Engagement → Session relationship: Session uses the Event entity type, which provides a native “parent” link. The Engagement → Session oneToMany relationship is implemented via this native parent link rather than a custom relationship declaration in YAML. The Engagement entity’s Session roll-up analytics fields (totalSessions, totalSessionsLast30Days, lastSessionDate, totalSessionHours) consume this native parent link via via: parent aggregate formulas.</w:t>
      </w:r>
    </w:p>
    <w:p>
      <w:r>
        <w:t xml:space="preserve">Note on the Engagement → Account (Referring Partner) relationship: This is a CR-contributed referral attribution relationship, declared on the Engagement side via engagementReferringPartner. Set primarily by the assigned mentor after the first session, with a Partner Coordinator exception write path. See Engagement Entity PRD v1.3 Section 3.7.</w:t>
      </w:r>
    </w:p>
    <w:p>
      <w:r>
        <w:t xml:space="preserve"/>
      </w:r>
    </w:p>
    <w:p>
      <w:pPr>
        <w:pStyle w:val="Heading2"/>
        <w:spacing w:before="240" w:after="120"/>
        <w:rPr/>
      </w:pPr>
      <w:r>
        <w:rPr>
          <w:rFonts w:eastAsia="Arial" w:cs="Arial" w:ascii="Arial" w:hAnsi="Arial"/>
          <w:b/>
          <w:bCs/>
          <w:i w:val="false"/>
          <w:iCs w:val="false"/>
          <w:sz w:val="28"/>
          <w:szCs w:val="28"/>
        </w:rPr>
        <w:t>Entity: Client Organization</w:t>
      </w:r>
    </w:p>
    <w:p>
      <w:pPr>
        <w:pStyle w:val="Normal"/>
        <w:spacing w:before="0" w:after="120"/>
        <w:rPr/>
      </w:pPr>
      <w:r>
        <w:rPr>
          <w:rFonts w:eastAsia="Arial" w:cs="Arial"/>
          <w:b w:val="false"/>
          <w:bCs w:val="false"/>
          <w:i w:val="false"/>
          <w:iCs w:val="false"/>
          <w:sz w:val="22"/>
          <w:szCs w:val="22"/>
        </w:rPr>
        <w:t>The client business receiving mentoring services. Created during Client Intake.</w:t>
      </w:r>
    </w:p>
    <w:tbl>
      <w:tblPr>
        <w:tblW w:w="9360" w:type="dxa"/>
        <w:jc w:val="left"/>
        <w:tblInd w:w="0" w:type="dxa"/>
        <w:tblLayout w:type="fixed"/>
        <w:tblCellMar>
          <w:top w:w="60" w:type="dxa"/>
          <w:left w:w="100" w:type="dxa"/>
          <w:bottom w:w="60" w:type="dxa"/>
          <w:right w:w="100" w:type="dxa"/>
        </w:tblCellMar>
      </w:tblPr>
      <w:tblGrid>
        <w:gridCol w:w="1799"/>
        <w:gridCol w:w="1000"/>
        <w:gridCol w:w="700"/>
        <w:gridCol w:w="2000"/>
        <w:gridCol w:w="801"/>
        <w:gridCol w:w="1599"/>
        <w:gridCol w:w="1460"/>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8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5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Business Name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MN-INTAKE-DAT-001</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MATCH, ENGAGE, INACTIVE, 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legal or operating name of the client business. Optional because pre-startup applicants may not yet have a business name.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Website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url</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MN-INTAKE-DAT-002</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MATCH, 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client business website address, if one exists.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Address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address</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MN-INTAKE-DAT-003</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MATCH, 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primary business address (street, city, state, zip). Used for geographic reporting and service area tracking.</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Organization Type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For-Profit, Non-Profit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MN-INTAKE-DAT-004</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MATCH</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Whether the organization operates as a for-profit business or a nonprofit. Drives funder reporting categories.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Business Stage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Pre-Startup, Startup, Early Stage, Growth Stage, Established</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MN-INTAKE-DAT-005</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MATCH</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stage of business development the client organization is in. Used for mentor matching and funder reporting.</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Sector</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20 top-level NAICS sectors</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MN-INTAKE-DAT-006</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MATCH</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primary industry sector based on NAICS. Used for mentor matching and impact reporting. Drives the Industry Subsector filter.</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Subsector</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~100 subsectors filtered by Industry Sector</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MN-INTAKE-DAT-007</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MATCH</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specific industry subsector within the selected Industry Sector.</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clientNotes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wysiwyg</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 xml:space="preserve">Account Entity PRD v1.8 §3.3</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 xml:space="preserve">(Entity PRD-introduced; not referenced by any MN process)</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 xml:space="preserve">Rich-text notes specific to the client relationship. Field-level access control restricted to Client Administrator and above; hidden from mentors per Account Entity PRD v1.8 Implementation Note. Configured post-deployment.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Applicant Since Timestamp</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datetime</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(system-populated, first-transition only)</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 xml:space="preserve">MN-INTAKE-DAT-027</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 xml:space="preserve">INTAKE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 xml:space="preserve">Timestamp recording when this Client Organization’s clientStatus first transitioned to Applicant. System-populated by MN-INTAKE-REQ-011 with the “if currently null” guard so the value records the first transition only and is not overwritten on subsequent transitions. Used by analytics on time-from-application metrics. See MN-INTAKE v2.5 DAT-027 and Account Entity PRD v1.8 Section 3.5; the cross-domain side-effect orchestration is documented in CR-MC-AA-003 (paired with MN-MC-AA-018).</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p>
      <w:pPr>
        <w:pStyle w:val="Normal"/>
        <w:spacing w:before="0" w:after="120"/>
        <w:rPr/>
      </w:pPr>
      <w:r>
        <w:rPr>
          <w:rFonts w:eastAsia="Arial" w:cs="Arial"/>
          <w:b w:val="false"/>
          <w:bCs w:val="false"/>
          <w:i w:val="false"/>
          <w:iCs w:val="false"/>
          <w:sz w:val="22"/>
          <w:szCs w:val="22"/>
        </w:rPr>
        <w:t>Individuals at the client business. Created during Client Intake; referenced across all processes for communications and session tracking.</w:t>
      </w:r>
    </w:p>
    <w:tbl>
      <w:tblPr>
        <w:tblW w:w="9360" w:type="dxa"/>
        <w:jc w:val="left"/>
        <w:tblInd w:w="0" w:type="dxa"/>
        <w:tblLayout w:type="fixed"/>
        <w:tblCellMar>
          <w:top w:w="60" w:type="dxa"/>
          <w:left w:w="100" w:type="dxa"/>
          <w:bottom w:w="60" w:type="dxa"/>
          <w:right w:w="100" w:type="dxa"/>
        </w:tblCellMar>
      </w:tblPr>
      <w:tblGrid>
        <w:gridCol w:w="1799"/>
        <w:gridCol w:w="1000"/>
        <w:gridCol w:w="700"/>
        <w:gridCol w:w="2000"/>
        <w:gridCol w:w="801"/>
        <w:gridCol w:w="1599"/>
        <w:gridCol w:w="1460"/>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8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5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First Name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MN-INTAKE-DAT-008</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ENGAGE, INACTIVE, 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contact’s first name.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Last Name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MN-INTAKE-DAT-009</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ENGAGE, INACTIVE, CLOSE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contact’s last name.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Middle Name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MN-INTAKE-DAT-010</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contact’s middle name.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Preferred Name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MN-INTAKE-DAT-011</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name the contact prefers to be called. Used in communications when provided.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Email</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email</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MN-INTAKE-DAT-012</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ENGAGE, 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contact’s primary email address. Used for all communications including meeting requests and surveys.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Phone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phone</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MN-INTAKE-DAT-013</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contact’s primary phone number.</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Zip Code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MN-INTAKE-DAT-014</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contact’s zip code. Used for geographic service area reporting.</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LinkedIn Profile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url</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MN-INTAKE-DAT-015</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contact’s LinkedIn profile URL. Provides professional background context for mentors.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Contact</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MN-INTAKE-DAT-016</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Identifies this contact as the primary point of contact for the Client Organization. Distinct from the engagement-level Primary Engagement Contact.</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p>
      <w:pPr>
        <w:pStyle w:val="Normal"/>
        <w:spacing w:before="0" w:after="120"/>
        <w:rPr/>
      </w:pPr>
      <w:r>
        <w:rPr>
          <w:rFonts w:eastAsia="Arial" w:cs="Arial"/>
          <w:b w:val="false"/>
          <w:bCs w:val="false"/>
          <w:i w:val="false"/>
          <w:iCs w:val="false"/>
          <w:sz w:val="22"/>
          <w:szCs w:val="22"/>
        </w:rPr>
        <w:t>The mentoring relationship linking a client to a mentor. The heaviest field set in the domain, with fields defined across all five processes.</w:t>
      </w:r>
    </w:p>
    <w:tbl>
      <w:tblPr>
        <w:tblW w:w="9360" w:type="dxa"/>
        <w:jc w:val="left"/>
        <w:tblInd w:w="0" w:type="dxa"/>
        <w:tblLayout w:type="fixed"/>
        <w:tblCellMar>
          <w:top w:w="60" w:type="dxa"/>
          <w:left w:w="100" w:type="dxa"/>
          <w:bottom w:w="60" w:type="dxa"/>
          <w:right w:w="100" w:type="dxa"/>
        </w:tblCellMar>
      </w:tblPr>
      <w:tblGrid>
        <w:gridCol w:w="1799"/>
        <w:gridCol w:w="1000"/>
        <w:gridCol w:w="700"/>
        <w:gridCol w:w="2000"/>
        <w:gridCol w:w="801"/>
        <w:gridCol w:w="1599"/>
        <w:gridCol w:w="1460"/>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8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5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Status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Submitted</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MN-INTAKE-DAT-017</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ALL</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current lifecycle stage. Created at Submitted; transitions governed by all five processes. Full transition rules documented in each process.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Engagement Contact</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MN-INTAKE-DAT-020</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ALL</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single client contact who is the primary point of contact for this engagement. Auto-set to the submitting contact at creation. All system-generated communications TO this contact; other Engagement Contacts (if any) CC’d. Changeable by mentor or Client Administrator.</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Contacts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 (many)</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MN-MATCH-DAT-021</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MATCH, ENGAGE, 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Additional client contacts participating beyond the Primary Engagement Contact. Optional — many engagements will have only the Primary Engagement Contact.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Focus Areas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TBD — see MN-INTAKE-ISS-001</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MN-INTAKE-DAT-018</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MATCH, 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Areas where the client seeks mentoring assistance. Primary matching criterion. Values must align with the Mentor profile field.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Needs Description</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wysiwyg</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MN-INTAKE-DAT-019</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INTAKE, MATCH, 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The client’s own description of what they are looking for in this engagement.</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Assigned Mentor</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MN-MATCH-DAT-019</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MATCH, ENGAGE, INACTIVE, CLOSE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primary volunteer mentor assigned to this engagement. Set during Mentor Matching.</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Additional Mentors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 (many)</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MN-ENGAGE-DAT-015</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 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Co-mentors or subject matter experts added by the mentor after informal coordination outside the system.</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Meeting Cadence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Weekly, Bi-Weekly, Monthly, As Needed</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MN-ENGAGE-DAT-014</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 INACTIVE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 xml:space="preserve">Expected meeting frequency. Set by the mentor after the first session. Drives inactivity monitoring thresholds (Weekly = 7 days, Bi-Weekly = 14 days, Monthly = 30 days, As Needed = configurable system default per MN-INACTIVE). Required at the workflow level when the engagement transitions from Assigned to Active per MN-MC-CR-006 — not enforced as a field-level constraint so that intake-stage records can be created before a meeting cadence has been agreed 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Notes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wysiwyg</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MN-ENGAGE-DAT-016</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Private notes by the mentor. Restricted to administrators and assigned mentors. Never visible to clients. Also documents On-Hold reasons.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Hold End Date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MN-ENGAGE-DAT-036</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 INACTIVE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Expected end date for On-Hold period. Required when On-Hold. Used by Activity Monitoring as the comparison date for On-Hold engagements.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Next Session Date/Time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datetime</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MN-ENGAGE-DAT-022</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 INACTIVE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Scheduled date/time of the next meeting. Updated automatically when set on a completed Session. Resets the inactivity monitoring clock.</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Total Sessions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MN-ENGAGE-DAT-018</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 INACTIVE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Total completed sessions. System-calculated. Read-only.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Total Sessions (Last 30 Days)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MN-ENGAGE-DAT-019</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 INACTIVE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Completed sessions in last 30 days. System-calculated. Read-only.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Last Session Date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MN-ENGAGE-DAT-020</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 INACTIVE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Date of most recently completed session. System-calculated. Read-only.</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Total Session Hours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float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MN-ENGAGE-DAT-021</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Total hours of mentoring delivered. Calculated from Duration across completed Sessions. Read-only.</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Close Date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MN-CLOSE-DAT-011</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INTAKE, INACTIVE, CLOSE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Date the engagement was formally closed. System-populated on transition to Declined, Abandoned, or Completed. Retained on reopening.</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Close Reason</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Goals Achieved, Client Withdrew, Inactive / No Response, Other, TBD</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MN-CLOSE-DAT-012</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INACTIVE, 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Reason for closure. Required at Completed transition. “Inactive / No Response” set automatically for Abandoned. Additional values TBD (MN-CLOSE-ISS-001).</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New Business Started</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MN-CLOSE-DAT-013</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CLOSE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Whether the engagement helped the client start a new business. Accessible throughout lifecycle; closure is the final prompt.</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New Location Opened</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bool</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MN-CLOSE-DAT-014</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Whether the engagement resulted in a new business location.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Significant Revenue Increase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MN-CLOSE-DAT-015</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CLOSE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Whether the engagement resulted in a significant revenue increase.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Revenue Increase Percentage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float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MN-CLOSE-DAT-016</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Percentage increase in revenue. Independent of the yes/no field.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Significant Employment Increase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MN-CLOSE-DAT-017</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CLOSE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Whether the engagement resulted in a significant employment increase.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Employment Increase Percentage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float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MN-CLOSE-DAT-018</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CLOSE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Percentage increase in employees. Independent of the yes/no field.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Requested Mentor</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relationship</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 xml:space="preserve">MN-INTAKE-DAT-026</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 xml:space="preserve">INTAKE, MATCH</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 xml:space="preserve">Optional client-selected preferred mentor recorded at MN-INTAKE via the intake form’s preferred-mentor selector. Reviewed by the Client Assignment Coordinator during MN-MATCH per MN-MATCH-REQ-009; a preference, not a guarantee. manyToOne — many engagements may request the same mentor. See Engagement Entity PRD v1.3 Section 3.7.</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Session</w:t>
      </w:r>
    </w:p>
    <w:p>
      <w:pPr>
        <w:pStyle w:val="Normal"/>
        <w:spacing w:before="0" w:after="120"/>
        <w:rPr/>
      </w:pPr>
      <w:r>
        <w:rPr>
          <w:rFonts w:eastAsia="Arial" w:cs="Arial"/>
          <w:b w:val="false"/>
          <w:bCs w:val="false"/>
          <w:i w:val="false"/>
          <w:iCs w:val="false"/>
          <w:sz w:val="22"/>
          <w:szCs w:val="22"/>
        </w:rPr>
        <w:t>Individual mentoring meetings within an engagement. Created and managed during Engagement Management.</w:t>
      </w:r>
    </w:p>
    <w:tbl>
      <w:tblPr>
        <w:tblW w:w="9360" w:type="dxa"/>
        <w:jc w:val="left"/>
        <w:tblInd w:w="0" w:type="dxa"/>
        <w:tblLayout w:type="fixed"/>
        <w:tblCellMar>
          <w:top w:w="60" w:type="dxa"/>
          <w:left w:w="100" w:type="dxa"/>
          <w:bottom w:w="60" w:type="dxa"/>
          <w:right w:w="100" w:type="dxa"/>
        </w:tblCellMar>
      </w:tblPr>
      <w:tblGrid>
        <w:gridCol w:w="1799"/>
        <w:gridCol w:w="1000"/>
        <w:gridCol w:w="700"/>
        <w:gridCol w:w="2000"/>
        <w:gridCol w:w="801"/>
        <w:gridCol w:w="1599"/>
        <w:gridCol w:w="1460"/>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8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5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Session Date/Time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datetime</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MN-ENGAGE-DAT-023</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Date and time the session is scheduled for or took place.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Scheduled, Completed, Canceled by Client, Canceled by Mentor, Missed by Client, Rescheduled by Client, Rescheduled by Mentor</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Scheduled</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MN-ENGAGE-DAT-024</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The current state of the session. Sessions are never deleted.</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Duration</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MN-ENGAGE-DAT-025</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Session length in minutes. Required when Completed. Used to calculate Total Session Hours.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Session Type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In-Person, Video Call, Phone Call</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MN-ENGAGE-DAT-026</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How the session was conducted. Required when Completed. Drives conditional display of location fields.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Meeting Location Type</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Organization Office, Client’s Place of Business, Other</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MN-ENGAGE-DAT-027</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Where an in-person session took place. Required when Session Type is In-Person.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Location Details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MN-ENGAGE-DAT-028</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Free-text description of meeting location. Shown only when Meeting Location Type is Other.</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Topics Covered</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MN-ENGAGE-ISS-002</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MN-ENGAGE-DAT-029</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Topics discussed during the session. May be included in session summary email. Values TBD.</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Session Notes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MN-ENGAGE-DAT-030</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Notes entered by the mentor. May be shared with the client in the session summary at the mentor’s discretion.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Next Steps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wysiwyg</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MN-ENGAGE-DAT-031</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Agreed-upon actions and follow-up items. May be included in the session summary email.</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Next Session Date/Time</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datetime</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MN-ENGAGE-DAT-033</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When set on a Completed session, triggers automatic calendar event, meeting request, and next Session creation.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 Attendees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 (many)</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MN-ENGAGE-DAT-034</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Mentors present at the session. At least one required for Completed status.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Attendees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 (many)</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MN-ENGAGE-DAT-035</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ENGAGE</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Client contacts present at the session. At least one required for Completed status.</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Mentor Contact (Referenced from Mentor Recruitment Domain)</w:t>
      </w:r>
    </w:p>
    <w:p>
      <w:pPr>
        <w:pStyle w:val="Normal"/>
        <w:spacing w:before="0" w:after="120"/>
        <w:rPr/>
      </w:pPr>
      <w:r>
        <w:rPr>
          <w:rFonts w:eastAsia="Arial" w:cs="Arial"/>
          <w:b w:val="false"/>
          <w:bCs w:val="false"/>
          <w:i w:val="false"/>
          <w:iCs w:val="false"/>
          <w:sz w:val="22"/>
          <w:szCs w:val="22"/>
        </w:rPr>
        <w:t>The following fields are defined and owned by the Mentor Recruitment (MR) domain. They are referenced here as read-only process data for the Mentor Matching process.</w:t>
      </w:r>
    </w:p>
    <w:tbl>
      <w:tblPr>
        <w:tblW w:w="9360" w:type="dxa"/>
        <w:jc w:val="left"/>
        <w:tblInd w:w="0" w:type="dxa"/>
        <w:tblLayout w:type="fixed"/>
        <w:tblCellMar>
          <w:top w:w="60" w:type="dxa"/>
          <w:left w:w="100" w:type="dxa"/>
          <w:bottom w:w="60" w:type="dxa"/>
          <w:right w:w="100" w:type="dxa"/>
        </w:tblCellMar>
      </w:tblPr>
      <w:tblGrid>
        <w:gridCol w:w="1799"/>
        <w:gridCol w:w="1000"/>
        <w:gridCol w:w="700"/>
        <w:gridCol w:w="2000"/>
        <w:gridCol w:w="801"/>
        <w:gridCol w:w="1599"/>
        <w:gridCol w:w="1460"/>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w:t>
            </w:r>
          </w:p>
        </w:tc>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8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5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1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Defined In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Same as Client Org Industry Sector</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MN-MATCH-DAT-011</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Industry sectors where the mentor has experience. Compared against client’s Industry Sector.</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Focus Areas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Same as Engagement Focus Areas</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MN-MATCH-DAT-012</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Areas where the mentor can provide guidance. Compared against client’s Mentoring Focus Areas.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Skills and Expertise Tags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MR-ISS-001</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MN-MATCH-DAT-013</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Finer-grained expertise tags for advanced matching.</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Fluent Languages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multiEnum</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MN-MATCH-DAT-014</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Languages the mentor is fluent in. For matching clients who prefer a non-English language.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 Status</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Submitted, In Review, Provisional, Active, Paused, Inactive, Resigned, Departed, Declined</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MN-MATCH-DAT-015</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Only Active mentors are eligible for new assignments.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Accepting New Clients</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MN-MATCH-DAT-016</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Whether the mentor is available for new assignments.</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Maximum Client Capacity</w:t>
            </w:r>
          </w:p>
        </w:tc>
        <w:tc>
          <w:tcPr>
            <w:tcW w:w="1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int</w:t>
            </w:r>
          </w:p>
        </w:tc>
        <w:tc>
          <w:tcPr>
            <w:tcW w:w="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MN-MATCH-DAT-017</w:t>
            </w:r>
          </w:p>
        </w:tc>
        <w:tc>
          <w:tcPr>
            <w:tcW w:w="1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Maximum simultaneous active engagements.</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Available Capacity</w:t>
            </w:r>
          </w:p>
        </w:tc>
        <w:tc>
          <w:tcPr>
            <w:tcW w:w="1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int</w:t>
            </w:r>
          </w:p>
        </w:tc>
        <w:tc>
          <w:tcPr>
            <w:tcW w:w="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5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MN-MATCH-DAT-018</w:t>
            </w:r>
          </w:p>
        </w:tc>
        <w:tc>
          <w:tcPr>
            <w:tcW w:w="1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MATCH (ref MR)</w:t>
            </w:r>
          </w:p>
        </w:tc>
      </w:tr>
      <w:tr>
        <w:trPr/>
        <w:tc>
          <w:tcPr>
            <w:tcW w:w="9359" w:type="dxa"/>
            <w:gridSpan w:val="7"/>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Additional engagements the mentor can accept. System-calculated.</w:t>
            </w:r>
          </w:p>
        </w:tc>
      </w:tr>
    </w:tbl>
    <w:p>
      <w:pPr>
        <w:pStyle w:val="Normal"/>
        <w:rPr/>
      </w:pPr>
      <w:r>
        <w:rPr/>
      </w:r>
      <w:r>
        <w:br w:type="page"/>
      </w:r>
    </w:p>
    <w:p>
      <w:pPr>
        <w:pStyle w:val="Heading2"/>
      </w:pPr>
      <w:r>
        <w:t xml:space="preserve">Entity: Client Contact (CR-MARKETING fields touched by MN-INTAKE)</w:t>
      </w:r>
    </w:p>
    <w:p>
      <w:r>
        <w:t xml:space="preserve">The following fields are owned by the Client Recruitment domain (CR-MARKETING) and defined on the Client Contact entity. They are listed here as read/touch references to fields that MN-INTAKE writes during application processing. The fields are documented authoritatively in the Contact Entity PRD v1.7 and the CR-MARKETING Sub-Domain Overview.</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337"/>
        <w:gridCol w:w="1337"/>
        <w:gridCol w:w="1337"/>
        <w:gridCol w:w="1337"/>
        <w:gridCol w:w="1337"/>
        <w:gridCol w:w="1337"/>
        <w:gridCol w:w="1337"/>
      </w:tblGrid>
      <w:tr>
        <w:tc>
          <w:tcPr>
            <w:tcW w:type="dxa" w:w="1337"/>
          </w:tcPr>
          <w:p>
            <w:r>
              <w:t>Field Name</w:t>
            </w:r>
          </w:p>
        </w:tc>
        <w:tc>
          <w:tcPr>
            <w:tcW w:type="dxa" w:w="1337"/>
          </w:tcPr>
          <w:p>
            <w:r>
              <w:t>Type</w:t>
            </w:r>
          </w:p>
        </w:tc>
        <w:tc>
          <w:tcPr>
            <w:tcW w:type="dxa" w:w="1337"/>
          </w:tcPr>
          <w:p>
            <w:r>
              <w:t>Req</w:t>
            </w:r>
          </w:p>
        </w:tc>
        <w:tc>
          <w:tcPr>
            <w:tcW w:type="dxa" w:w="1337"/>
          </w:tcPr>
          <w:p>
            <w:r>
              <w:t>Values</w:t>
            </w:r>
          </w:p>
        </w:tc>
        <w:tc>
          <w:tcPr>
            <w:tcW w:type="dxa" w:w="1337"/>
          </w:tcPr>
          <w:p>
            <w:r>
              <w:t>Default</w:t>
            </w:r>
          </w:p>
        </w:tc>
        <w:tc>
          <w:tcPr>
            <w:tcW w:type="dxa" w:w="1337"/>
          </w:tcPr>
          <w:p>
            <w:r>
              <w:t>ID</w:t>
            </w:r>
          </w:p>
        </w:tc>
        <w:tc>
          <w:tcPr>
            <w:tcW w:type="dxa" w:w="1337"/>
          </w:tcPr>
          <w:p>
            <w:r>
              <w:t>Defined In</w:t>
            </w:r>
          </w:p>
        </w:tc>
      </w:tr>
      <w:tr>
        <w:tc>
          <w:tcPr>
            <w:tcW w:type="dxa" w:w="1337"/>
          </w:tcPr>
          <w:p>
            <w:r>
              <w:t>prospectStatus</w:t>
            </w:r>
          </w:p>
        </w:tc>
        <w:tc>
          <w:tcPr>
            <w:tcW w:type="dxa" w:w="1337"/>
          </w:tcPr>
          <w:p>
            <w:r>
              <w:t>enum</w:t>
            </w:r>
          </w:p>
        </w:tc>
        <w:tc>
          <w:tcPr>
            <w:tcW w:type="dxa" w:w="1337"/>
          </w:tcPr>
          <w:p>
            <w:r>
              <w:t>No</w:t>
            </w:r>
          </w:p>
        </w:tc>
        <w:tc>
          <w:tcPr>
            <w:tcW w:type="dxa" w:w="1337"/>
          </w:tcPr>
          <w:p>
            <w:r>
              <w:t>Prospect, Engaged, Converted, Not Converted</w:t>
            </w:r>
          </w:p>
        </w:tc>
        <w:tc>
          <w:tcPr>
            <w:tcW w:type="dxa" w:w="1337"/>
          </w:tcPr>
          <w:p>
            <w:r>
              <w:t>Prospect</w:t>
            </w:r>
          </w:p>
        </w:tc>
        <w:tc>
          <w:tcPr>
            <w:tcW w:type="dxa" w:w="1337"/>
          </w:tcPr>
          <w:p>
            <w:r>
              <w:t>CR-MARKETING (Contact PRD v1.7)</w:t>
            </w:r>
          </w:p>
        </w:tc>
        <w:tc>
          <w:tcPr>
            <w:tcW w:type="dxa" w:w="1337"/>
          </w:tcPr>
          <w:p>
            <w:r>
              <w:t>INTAKE (touch only — owned by CR-MARKETING)</w:t>
            </w:r>
          </w:p>
        </w:tc>
      </w:tr>
      <w:tr>
        <w:tc>
          <w:tcPr>
            <w:tcW w:type="dxa" w:w="9359"/>
            <w:gridSpan w:val="7"/>
          </w:tcPr>
          <w:p>
            <w:r>
              <w:t>CR-MARKETING-owned marketing-funnel lifecycle. MN-INTAKE-REQ-012 transitions this field to Converted when an applicant is processed (terminal state). Other prospect Contacts at the same Account are not auto-converted.</w:t>
            </w:r>
          </w:p>
        </w:tc>
      </w:tr>
      <w:tr>
        <w:tc>
          <w:tcPr>
            <w:tcW w:type="dxa" w:w="1337"/>
          </w:tcPr>
          <w:p>
            <w:r>
              <w:t>howDidYouHearAboutCbm</w:t>
            </w:r>
          </w:p>
        </w:tc>
        <w:tc>
          <w:tcPr>
            <w:tcW w:type="dxa" w:w="1337"/>
          </w:tcPr>
          <w:p>
            <w:r>
              <w:t>enum</w:t>
            </w:r>
          </w:p>
        </w:tc>
        <w:tc>
          <w:tcPr>
            <w:tcW w:type="dxa" w:w="1337"/>
          </w:tcPr>
          <w:p>
            <w:r>
              <w:t>No</w:t>
            </w:r>
          </w:p>
        </w:tc>
        <w:tc>
          <w:tcPr>
            <w:tcW w:type="dxa" w:w="1337"/>
          </w:tcPr>
          <w:p>
            <w:r>
              <w:t>CBM source-attribution values</w:t>
            </w:r>
          </w:p>
        </w:tc>
        <w:tc>
          <w:tcPr>
            <w:tcW w:type="dxa" w:w="1337"/>
          </w:tcPr>
          <w:p>
            <w:r>
              <w:t>—</w:t>
            </w:r>
          </w:p>
        </w:tc>
        <w:tc>
          <w:tcPr>
            <w:tcW w:type="dxa" w:w="1337"/>
          </w:tcPr>
          <w:p>
            <w:r>
              <w:t>CR-MARKETING (Contact PRD v1.7)</w:t>
            </w:r>
          </w:p>
        </w:tc>
        <w:tc>
          <w:tcPr>
            <w:tcW w:type="dxa" w:w="1337"/>
          </w:tcPr>
          <w:p>
            <w:r>
              <w:t>INTAKE (touch only — owned by CR-MARKETING)</w:t>
            </w:r>
          </w:p>
        </w:tc>
      </w:tr>
      <w:tr>
        <w:tc>
          <w:tcPr>
            <w:tcW w:type="dxa" w:w="9359"/>
            <w:gridSpan w:val="7"/>
          </w:tcPr>
          <w:p>
            <w:r>
              <w:t>CR-MARKETING-owned source attribution. MN-INTAKE-REQ-013 writes the applicant’s self-reported value only if the field is currently blank — CR-MARKETING-owned data has higher authority than self-report (layered authority policy).</w:t>
            </w:r>
          </w:p>
        </w:tc>
      </w:tr>
      <w:tr>
        <w:tc>
          <w:tcPr>
            <w:tcW w:type="dxa" w:w="1337"/>
          </w:tcPr>
          <w:p>
            <w:r>
              <w:t>sourceAttributionDetails</w:t>
            </w:r>
          </w:p>
        </w:tc>
        <w:tc>
          <w:tcPr>
            <w:tcW w:type="dxa" w:w="1337"/>
          </w:tcPr>
          <w:p>
            <w:r>
              <w:t>wysiwyg</w:t>
            </w:r>
          </w:p>
        </w:tc>
        <w:tc>
          <w:tcPr>
            <w:tcW w:type="dxa" w:w="1337"/>
          </w:tcPr>
          <w:p>
            <w:r>
              <w:t>No</w:t>
            </w:r>
          </w:p>
        </w:tc>
        <w:tc>
          <w:tcPr>
            <w:tcW w:type="dxa" w:w="1337"/>
          </w:tcPr>
          <w:p>
            <w:r>
              <w:t>—</w:t>
            </w:r>
          </w:p>
        </w:tc>
        <w:tc>
          <w:tcPr>
            <w:tcW w:type="dxa" w:w="1337"/>
          </w:tcPr>
          <w:p>
            <w:r>
              <w:t>—</w:t>
            </w:r>
          </w:p>
        </w:tc>
        <w:tc>
          <w:tcPr>
            <w:tcW w:type="dxa" w:w="1337"/>
          </w:tcPr>
          <w:p>
            <w:r>
              <w:t>CR-MARKETING (Contact PRD v1.7)</w:t>
            </w:r>
          </w:p>
        </w:tc>
        <w:tc>
          <w:tcPr>
            <w:tcW w:type="dxa" w:w="1337"/>
          </w:tcPr>
          <w:p>
            <w:r>
              <w:t>INTAKE (touch only — owned by CR-MARKETING)</w:t>
            </w:r>
          </w:p>
        </w:tc>
      </w:tr>
      <w:tr>
        <w:tc>
          <w:tcPr>
            <w:tcW w:type="dxa" w:w="9359"/>
            <w:gridSpan w:val="7"/>
          </w:tcPr>
          <w:p>
            <w:r>
              <w:t>CR-MARKETING-owned audit-trail field. MN-INTAKE-REQ-013 always appends the applicant’s self-reported howDidYouHearAboutCbm value as a timestamped audit-trail entry, regardless of whether the primary field was overwritten. Carries the full provenance history. See CR-MC-AA-017.</w:t>
            </w:r>
          </w:p>
        </w:tc>
      </w:tr>
    </w:tbl>
    <w:p>
      <w:r>
        <w:t xml:space="preserve"/>
      </w:r>
    </w:p>
    <w:p>
      <w:pPr>
        <w:pStyle w:val="Heading1"/>
        <w:spacing w:before="0" w:after="120"/>
        <w:rPr/>
      </w:pPr>
      <w:r>
        <w:rPr>
          <w:rFonts w:eastAsia="Arial" w:cs="Arial" w:ascii="Arial" w:hAnsi="Arial"/>
          <w:b/>
          <w:bCs/>
          <w:i w:val="false"/>
          <w:iCs w:val="false"/>
          <w:sz w:val="32"/>
          <w:szCs w:val="32"/>
        </w:rPr>
        <w:t>5. Decisions Made</w:t>
      </w:r>
    </w:p>
    <w:p>
      <w:pPr>
        <w:pStyle w:val="Normal"/>
        <w:spacing w:before="0" w:after="120"/>
        <w:rPr/>
      </w:pPr>
      <w:r>
        <w:rPr>
          <w:rFonts w:eastAsia="Arial" w:cs="Arial"/>
          <w:b w:val="false"/>
          <w:bCs w:val="false"/>
          <w:i w:val="false"/>
          <w:iCs w:val="false"/>
          <w:sz w:val="22"/>
          <w:szCs w:val="22"/>
        </w:rPr>
        <w:t>The following decisions were made during the process definition conversations and during domain reconciliation. Decisions from process interviews are compiled from the Interview Transcript sections of each process document. Reconciliation decisions were made during this Domain PRD assembly.</w:t>
      </w:r>
    </w:p>
    <w:p>
      <w:pPr>
        <w:pStyle w:val="Normal"/>
        <w:spacing w:before="0" w:after="120"/>
        <w:rPr/>
      </w:pPr>
      <w:r>
        <w:rPr/>
      </w:r>
    </w:p>
    <w:tbl>
      <w:tblPr>
        <w:tblW w:w="9360" w:type="dxa"/>
        <w:jc w:val="left"/>
        <w:tblInd w:w="0" w:type="dxa"/>
        <w:tblLayout w:type="fixed"/>
        <w:tblCellMar>
          <w:top w:w="60" w:type="dxa"/>
          <w:left w:w="100" w:type="dxa"/>
          <w:bottom w:w="60" w:type="dxa"/>
          <w:right w:w="100" w:type="dxa"/>
        </w:tblCellMar>
      </w:tblPr>
      <w:tblGrid>
        <w:gridCol w:w="1799"/>
        <w:gridCol w:w="3500"/>
        <w:gridCol w:w="2201"/>
        <w:gridCol w:w="18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35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Decision</w:t>
            </w:r>
          </w:p>
        </w:tc>
        <w:tc>
          <w:tcPr>
            <w:tcW w:w="22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Rationale</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Made During</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MN-RECON-DEC-001</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Primary Engagement Contact added as a required field on Engagement, separate from the optional Engagement Contacts relationship.</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Structural gap discovered during reconciliation: no way to identify which contact is the primary for a specific engagement. Engagement Contacts became optional additional contacts.</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MN-RECON-DEC-002</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Engagement Contacts required status resolved as No across all processes.</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With Primary Engagement Contact as a separate required field, additional contacts are optional. Many engagements will have only one contact.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MN-RECON-DEC-003</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All system-generated client-facing communications follow TO/CC pattern: TO Primary Engagement Contact, CC other Engagement Contacts if any.</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Establishes a consistent communication addressing rule across all processes.</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MN-RECON-DEC-004</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MN-MATCH Engagement Contacts description corrected in Data Reference.</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MN-MATCH v2.1 retained stale description referencing “defaults to Primary Contact if empty.” Corrected to reflect the new Primary Engagement Contact field.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Reconciliation</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and Mentoring Needs Description placed on Engagement, not Client Organization.</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These describe engagement-specific needs, not business characteristics.</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Close Date and Close Reason removed from MN-INTAKE; defined in MN-CLOSE.</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Only relevant at formal closure.</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MN-MATCH-DEC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Replaced system verification with a list filter that does not prevent override.</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Better UX — coordinator sees eligible mentors upfront but retains discretion.</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MN-MATCH</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MN-MATCH-DEC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Merged nomination, status transition, and notification into a single workflow step.</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Status change and notification are consequences of the coordinator’s action.</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MN-MATCH</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On-Hold set by Mentor only, not Client Administrator.</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Reflects actual workflow — the mentor manages the relationship.</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MN-ENGAGE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Co-mentors and SMEs stored as a single Additional Mentors relationship.</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need to distinguish types in the data model.</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MN-ENGAGE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 Notes (private) and Session Notes (shareable) are separate fields.</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Different visibility rules and usage patterns.</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MN-ENGAGE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Capacity enforcement is MN-MATCH’s responsibility, not MN-ENGAGE’s.</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MN-ENGAGE only needs multi-engagement support, not limit enforcement.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MN-ENGAGE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Hold End Date required when placing an engagement On-Hold.</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Prevents indefinite holds; gives Activity Monitoring a comparison date.</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MN-INACTIVE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As Needed cadence uses a configurable system default in days.</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 obvious numeric base for As Needed; configurable default is flexible.</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MN-INACTIVE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MN-INACTIVE-DEC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 client-facing notifications from Activity Monitoring.</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outreach is a human decision, not automated.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MN-INACTIVE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MN-INACTIVE-DEC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Configurable escalation multiplier (default 2x) and configurable notification templates added.</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Allows CBM to tune thresholds and messaging without process revision.</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MN-INACTIVE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MN-CLOSE-DEC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Eligible statuses for closure are strictly Active, On-Hold, Dormant, and Inactive.</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Engagements that were never active have no measurable outcomes.</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MN-CLOSE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Business Started moved from Session to Engagement entity.</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Tracking per-session is not important; it’s an overall engagement outcome.</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MN-CLOSE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MN-CLOSE-DEC</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Outcome fields are optional and accessible throughout the lifecycle.</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 can enter at any time; closure is the final prompt.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MN-CLOSE</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MN-CLOSE-DEC</w:t>
            </w:r>
          </w:p>
        </w:tc>
        <w:tc>
          <w:tcPr>
            <w:tcW w:w="3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Reopening retains all closure data; mentor may manually update.</w:t>
            </w:r>
          </w:p>
        </w:tc>
        <w:tc>
          <w:tcPr>
            <w:tcW w:w="22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Data integrity preferred over convenience; expected to be rare.</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MN-CLOSE</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MN-RECON-V1.1-DEC-001</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Domain PRD re-reconciled from MN-INTAKE v2.5, MN-MATCH v2.2, MN-ENGAGE v2.3, MN-INACTIVE v1.2, MN-CLOSE v1.1. v1.0 had reconciled MN-INTAKE v2.1 and MN-MATCH v2.1; the upstream process documents have since advanced to v2.5 and v2.2 respectively while MN-ENGAGE, MN-INACTIVE, and MN-CLOSE remain in sync. v1.1 brings the Domain PRD back into alignment.</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Domain PRD content is authoritatively derived from the upstream process documents and Entity PRDs; staleness undermines the document’s role as a single domain-level reference.</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MN-RECON-V1.1-DEC-002</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Adopted the four CR-MARKETING integration touchpoints from MN-INTAKE v2.3/v2.4 into MN (REQ-010 deduplication; REQ-011 clientStatus + applicantSinceTimestamp; REQ-012 prospectStatus → Converted; REQ-013 howDidYouHearAboutCbm layered-authority write + sourceAttributionDetails audit trail). Closes MN-INTAKE-ISS-002.</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CR-MARKETING is the upstream source of marketing-prospect Contact records. Without these touchpoints MN-INTAKE creates duplicate Contacts and overwrites authoritative attribution data.</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MN-RECON-V1.1-DEC-003</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Adopted MN-INTAKE v2.4 addition of Account.applicantSinceTimestamp (MN-INTAKE-DAT-027), populated by MN-INTAKE-REQ-011 with an “if currently null” first-transition guard. Cross-domain side-effect documented in CR-MC-AA-003.</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Records when an Account first reached Applicant status without being overwritten by subsequent transitions. Required for downstream analytics on time-from-application metrics.</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MN-RECON-V1.1-DEC-004</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Adopted MN-MATCH v2.2 Requested Mentor preference review (MN-MATCH-REQ-009): when an Engagement has a Requested Mentor (MN-INTAKE-DAT-026), the Client Assignment Coordinator reviews that mentor’s profile, availability, and fit before searching the general roster. The request is a client preference, not a binding assignment.</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Surfaces the client’s intake-form preferred-mentor selection as a first-class workflow step. Aligns the matching process with the optional preferred-mentor capability added at intake.</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MN-RECON-V1.1-DEC-005</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Engagement.meetingCadence required-ness changed from Yes to No (Finding #3 / Option C). The workflow-level requirement that meetingCadence be populated before the Assigned-to-Active transition is enforced post-deployment per MN-MC-CR-006, not as a field-level constraint.</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meetingCadence is set by the mentor after the first session and the intake flow cannot populate it at Engagement creation time. A field-level required:true would block intake-stage record creation. Workflow-level enforcement at the Assigned-to-Active transition is the correct gate.</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MN-RECON-V1.1-DEC-006</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Section 4 of the Domain PRD now opens with a consolidated Entity Relationships table covering all MN-domain relationships (Finding #7). This brings the Domain PRD’s structure into parallel with the Entity PRDs, each of which has its own Section 4 Relationships sub-section. v1.0 listed relationships only as relationship-typed fields scattered across the per-entity field tables; v1.1 surfaces them as a first-class structural element of the data model.</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Relationships set the structural context within which the field tables operate; placing the relationships first lets a reader build the entity-relationship picture before encountering individual field details.</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MN-RECON-V1.1-DEC-007</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Added clientNotes (wysiwyg) to the Client Organization data table per Account Entity PRD v1.8 Section 3.3 and ACT-DEC-005 (Bonus observation). Field is Entity PRD-introduced and not referenced by any MN process; configured post-deployment with field-level access control restricting visibility to Client Administrator and above per MN-MC-DD-001.</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Captured in the Account Entity PRD but missing from the v1.0 Domain PRD field tables. Re-reconciliation is the natural moment to bring the omission into the Domain PRD.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MN-RECON-V1.1-DEC-008</w:t>
            </w:r>
          </w:p>
        </w:tc>
        <w:tc>
          <w:tcPr>
            <w:tcW w:w="3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Field ID citations in v1.1 follow the append-only convention: the Domain PRD cites the v2.1 MN-INTAKE-DAT IDs (matching the YAMLs and Engagement Entity PRD v1.3) rather than the v2.4 renumbered IDs. ID drift between MN-INTAKE v2.1 and v2.4 is documented technical debt.</w:t>
            </w:r>
          </w:p>
        </w:tc>
        <w:tc>
          <w:tcPr>
            <w:tcW w:w="22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Append-only ID conventions preserve referential stability across upstream documents and YAMLs. Lockstep renumbering would have required a parallel update to all citing artifacts in this session, which was out of scope.</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Reconciliation v1.1</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6. Open Issues</w:t>
      </w:r>
    </w:p>
    <w:p>
      <w:pPr>
        <w:pStyle w:val="Normal"/>
        <w:spacing w:before="0" w:after="120"/>
        <w:rPr/>
      </w:pPr>
      <w:r>
        <w:rPr>
          <w:rFonts w:eastAsia="Arial" w:cs="Arial"/>
          <w:b w:val="false"/>
          <w:bCs w:val="false"/>
          <w:i w:val="false"/>
          <w:iCs w:val="false"/>
          <w:sz w:val="22"/>
          <w:szCs w:val="22"/>
        </w:rPr>
        <w:t>The following unresolved issues were identified across the process definition conversations. All must be resolved before implementation.</w:t>
      </w:r>
    </w:p>
    <w:p>
      <w:pPr>
        <w:pStyle w:val="Normal"/>
        <w:spacing w:before="0" w:after="120"/>
        <w:rPr/>
      </w:pPr>
      <w:r>
        <w:rPr/>
      </w:r>
    </w:p>
    <w:tbl>
      <w:tblPr>
        <w:tblW w:w="9360" w:type="dxa"/>
        <w:jc w:val="left"/>
        <w:tblInd w:w="0" w:type="dxa"/>
        <w:tblLayout w:type="fixed"/>
        <w:tblCellMar>
          <w:top w:w="60" w:type="dxa"/>
          <w:left w:w="100" w:type="dxa"/>
          <w:bottom w:w="60" w:type="dxa"/>
          <w:right w:w="100" w:type="dxa"/>
        </w:tblCellMar>
      </w:tblPr>
      <w:tblGrid>
        <w:gridCol w:w="1799"/>
        <w:gridCol w:w="2801"/>
        <w:gridCol w:w="2400"/>
        <w:gridCol w:w="2359"/>
      </w:tblGrid>
      <w:tr>
        <w:trPr/>
        <w:tc>
          <w:tcPr>
            <w:tcW w:w="1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28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Issue</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Question</w:t>
            </w:r>
          </w:p>
        </w:tc>
        <w:tc>
          <w:tcPr>
            <w:tcW w:w="2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Needs Input From</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MN-INTAKE-ISS-001</w:t>
            </w:r>
          </w:p>
        </w:tc>
        <w:tc>
          <w:tcPr>
            <w:tcW w:w="2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complete list of allowed values not defined.</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What are the allowed values? Must align with the corresponding field on the Mentor profile.</w:t>
            </w:r>
          </w:p>
        </w:tc>
        <w:tc>
          <w:tcPr>
            <w:tcW w:w="2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program leadership + MR domain definition</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MN-ENGAGE-ISS-001</w:t>
            </w:r>
          </w:p>
        </w:tc>
        <w:tc>
          <w:tcPr>
            <w:tcW w:w="2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Automatic video conferencing link generation for meeting requests.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How can the system automatically generate a video conferencing link when creating a meeting request from Next Session Date/Time?</w:t>
            </w:r>
          </w:p>
        </w:tc>
        <w:tc>
          <w:tcPr>
            <w:tcW w:w="2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Technology Administrator</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MN-ENGAGE-ISS-002</w:t>
            </w:r>
          </w:p>
        </w:tc>
        <w:tc>
          <w:tcPr>
            <w:tcW w:w="2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Topics Covered: complete list of allowed values not defined.</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What topics should be available for session tracking?</w:t>
            </w:r>
          </w:p>
        </w:tc>
        <w:tc>
          <w:tcPr>
            <w:tcW w:w="2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program leadership</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MN-CLOSE-ISS-001</w:t>
            </w:r>
          </w:p>
        </w:tc>
        <w:tc>
          <w:tcPr>
            <w:tcW w:w="2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Close Reason: complete list of allowed values needs finalization.</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Are Goals Achieved, Client Withdrew, Inactive / No Response, and Other sufficient, or are additional values needed?</w:t>
            </w:r>
          </w:p>
        </w:tc>
        <w:tc>
          <w:tcPr>
            <w:tcW w:w="2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program leadership</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MN-CLOSE-ISS-002</w:t>
            </w:r>
          </w:p>
        </w:tc>
        <w:tc>
          <w:tcPr>
            <w:tcW w:w="2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Additional engagement outcome metrics may be needed.</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Beyond the six defined outcome fields, are there additional metrics for analytics?</w:t>
            </w:r>
          </w:p>
        </w:tc>
        <w:tc>
          <w:tcPr>
            <w:tcW w:w="2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CBM program leadership</w:t>
            </w:r>
          </w:p>
        </w:tc>
      </w:tr>
      <w:tr>
        <w:trPr/>
        <w:tc>
          <w:tcPr>
            <w:tcW w:w="1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MN-CLOSE-ISS-003</w:t>
            </w:r>
          </w:p>
        </w:tc>
        <w:tc>
          <w:tcPr>
            <w:tcW w:w="28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Closed Engagement Survey response tracking: CRM or external tool?</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Should survey responses be captured as CRM fields or handled by an external survey tool?</w:t>
            </w:r>
          </w:p>
        </w:tc>
        <w:tc>
          <w:tcPr>
            <w:tcW w:w="2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CBM program leadership + Technology Administrator</w:t>
            </w:r>
          </w:p>
        </w:tc>
      </w:tr>
      <w:tr>
        <w:trPr/>
        <w:tc>
          <w:tcPr>
            <w:tcW w:w="1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 xml:space="preserve">MN-INTAKE-ISS-002 (CLOSED)</w:t>
            </w:r>
          </w:p>
        </w:tc>
        <w:tc>
          <w:tcPr>
            <w:tcW w:w="28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Marketing-prospect Contact deduplication and CR-MARKETING attribution integration at intake.</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Resolved by the CR-MARKETING integration adopted in v1.1 (REQ-010 through REQ-013). Closure documented in MN-INTAKE v2.4 Decisions; brought into the Domain PRD by MN-RECON-V1.1-DEC-002.</w:t>
            </w:r>
          </w:p>
        </w:tc>
        <w:tc>
          <w:tcPr>
            <w:tcW w:w="2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 xml:space="preserve">Closed (no further input needed)</w:t>
            </w:r>
          </w:p>
        </w:tc>
      </w:tr>
    </w:tbl>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120"/>
        <w:gridCol w:w="3120"/>
        <w:gridCol w:w="3120"/>
      </w:tblGrid>
      <w:tr>
        <w:tc>
          <w:tcPr>
            <w:tcW w:type="dxa" w:w="3120"/>
          </w:tcPr>
          <w:p>
            <w:r>
              <w:t>Version</w:t>
            </w:r>
          </w:p>
        </w:tc>
        <w:tc>
          <w:tcPr>
            <w:tcW w:type="dxa" w:w="3120"/>
          </w:tcPr>
          <w:p>
            <w:r>
              <w:t>Date</w:t>
            </w:r>
          </w:p>
        </w:tc>
        <w:tc>
          <w:tcPr>
            <w:tcW w:type="dxa" w:w="3120"/>
          </w:tcPr>
          <w:p>
            <w:r>
              <w:t>Changes</w:t>
            </w:r>
          </w:p>
        </w:tc>
      </w:tr>
      <w:tr>
        <w:tc>
          <w:tcPr>
            <w:tcW w:type="dxa" w:w="3120"/>
          </w:tcPr>
          <w:p>
            <w:r>
              <w:t>1.0</w:t>
            </w:r>
          </w:p>
        </w:tc>
        <w:tc>
          <w:tcPr>
            <w:tcW w:type="dxa" w:w="3120"/>
          </w:tcPr>
          <w:p>
            <w:r>
              <w:t>04-01-26</w:t>
            </w:r>
          </w:p>
        </w:tc>
        <w:tc>
          <w:tcPr>
            <w:tcW w:type="dxa" w:w="3120"/>
          </w:tcPr>
          <w:p>
            <w:r>
              <w:t>Initial reconciliation. Compiled from MN-INTAKE v2.1, MN-MATCH v2.1, MN-ENGAGE v2.3, MN-INACTIVE v1.2, MN-CLOSE v1.1.</w:t>
            </w:r>
          </w:p>
        </w:tc>
      </w:tr>
      <w:tr>
        <w:tc>
          <w:tcPr>
            <w:tcW w:type="dxa" w:w="3120"/>
          </w:tcPr>
          <w:p>
            <w:r>
              <w:t>1.1</w:t>
            </w:r>
          </w:p>
        </w:tc>
        <w:tc>
          <w:tcPr>
            <w:tcW w:type="dxa" w:w="3120"/>
          </w:tcPr>
          <w:p>
            <w:r>
              <w:t>05-05-26</w:t>
            </w:r>
          </w:p>
        </w:tc>
        <w:tc>
          <w:tcPr>
            <w:tcW w:type="dxa" w:w="3120"/>
          </w:tcPr>
          <w:p>
            <w:r>
              <w:t>Re-reconciliation triggered by the 05-05-26 verification pass against the v1.0 Domain PRD. Process workflow updates: MN-INTAKE Section 3.1 Process Workflow rewritten to v2.5 (preferred mentor on intake form, Primary Engagement Contact + Engagement Contacts auto-assignment, Pre-Startup derived Account name fallback, four CR-MARKETING integration touchpoints). MN-MATCH Section 3.2 Process Workflow gains a new step (Requested Mentor preference review). Requirement additions: MN-INTAKE-REQ-008 through MN-INTAKE-REQ-013 (six new requirements); MN-MATCH-REQ-009 (Requested Mentor preference review). Data table extensions: MN-INTAKE Data Collected gains MN-INTAKE-DAT-026 (Requested Mentor on Engagement) and MN-INTAKE-DAT-027 (applicantSinceTimestamp on Client Organization); MN-MATCH Process Data gains MN-MATCH-DAT-024 (Requested Mentor read from Engagement). Entity field additions: Section 4 Client Organization gains clientNotes (per Account Entity PRD v1.8) and applicantSinceTimestamp (MN-INTAKE-DAT-027); Section 4 Engagement gains Requested Mentor (MN-INTAKE-DAT-026); Engagement Meeting Cadence changed from Required:Yes to Required:No with workflow-level enforcement at the Assigned-to-Active transition documented under MN-MC-CR-006 (Finding #3). Structural changes: Section 4 now opens with a new consolidated Entity Relationships sub-section (Finding #7) listing all 12 MN-domain relationships, structurally parallel to the Section 4 Relationships sub-sections in the Engagement, Session, Account, and Contact Entity PRDs. Section 4 also adds a new “Entity: Client Contact (CR-MARKETING fields touched by MN-INTAKE)” sub-section listing prospectStatus, howDidYouHearAboutCbm, and sourceAttributionDetails. Decisions appended: MN-RECON-V1.1-DEC-001 through DEC-008 covering the reconciliation, the CR-MARKETING integration adoption, applicantSinceTimestamp adoption, the Requested Mentor preference workflow step, the meetingCadence requiredness change, the Entity Relationships sub-section, the clientNotes addition, and the append-only field-ID convention (Finding #5). Open issues: MN-INTAKE-ISS-002 added and closed (resolved by CR-MARKETING integration). Source line updated to reflect new upstream versions; Last Updated bumped to 05-05-26 11:06.</w:t>
            </w:r>
          </w:p>
        </w:tc>
      </w:tr>
    </w:tbl>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p>
      <w:pPr>
        <w:pStyle w:val="Heading1"/>
      </w:pPr>
      <w:r>
        <w:t xml:space="preserve">7. Change Log</w:t>
      </w:r>
    </w:p>
    <w:p>
      <w:r>
        <w:t xml:space="preserve">Revision history for the Mentoring (MN) Domain PRD. Each entry documents a re-reconciliation pass and the categories of change applied.</w:t>
      </w:r>
    </w:p>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Domain PRD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Domain PRD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Mentoring Domain PRD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Mentoring Domain PRD</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LibreOffice/24.2.7.2$Linux_X86_64 LibreOffice_project/420$Build-2</Application>
  <AppVersion>15.0000</AppVersion>
  <Pages>30</Pages>
  <Words>7610</Words>
  <Characters>48942</Characters>
  <CharactersWithSpaces>55602</CharactersWithSpaces>
  <Paragraphs>1032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2026-04-01T05:24:56Z</dcterms:created>
  <dc:creator>Un-named</dc:creator>
  <dc:description/>
  <dc:language>en-US</dc:language>
  <cp:lastModifiedBy/>
  <dcterms:modified xsi:type="dcterms:W3CDTF">2026-04-06T12:27:18Z</dcterms:modified>
  <cp:revision>2</cp:revision>
  <dc:subject/>
  <dc:title/>
</cp:coreProperties>
</file>