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Account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 (Native — Company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hAnsi="Arial"/>
              </w:rPr>
              <w:t>1.11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hAnsi="Arial"/>
              </w:rPr>
              <w:t>05-18-26 07:00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v2.0, Entity Inventory v1.0, MN Domain PRD v1.0, Contact Entity PRD v1.0, CR Domain PRD v1.0 (legacy, summary), FU Domain PRD v1.0 (legacy, summary)</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Company</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Primary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Mentoring (MN)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 Client Recruiting (CR), Fundraising (FU)</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Discriminator Field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accountType (multiEnum)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Discriminator Values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Partner, Donor/Sponsor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Account entity is the single repository for all organizations known to Cleveland Business Mentors. It is a native Company-type entity shared across three business domains with type-specific fields controlled by dynamic logic visibility rules based on the accountType discriminator.</w:t>
      </w:r>
    </w:p>
    <w:p>
      <w:pPr>
        <w:spacing w:after="120"/>
      </w:pPr>
      <w:r>
        <w:rPr>
          <w:rFonts w:ascii="Arial" w:cs="Arial" w:eastAsia="Arial" w:hAnsi="Arial"/>
          <w:b w:val="false"/>
          <w:bCs w:val="false"/>
          <w:i w:val="false"/>
          <w:iCs w:val="false"/>
          <w:sz w:val="22"/>
          <w:szCs w:val="22"/>
        </w:rPr>
        <w:t xml:space="preserve">A single Account can hold multiple types simultaneously. A community organization that refers clients, co-delivers programs, and provides funding would have accountType values of Client, Partner, and Donor/Sponsor. Dynamic logic uses the “accountType has [value]” condition to show or hide type-specific fields, meaning an Account with multiple types sees the union of all relevant fields.</w:t>
      </w:r>
    </w:p>
    <w:p>
      <w:pPr>
        <w:spacing w:after="120"/>
      </w:pPr>
      <w:r>
        <w:rPr>
          <w:rFonts w:ascii="Arial" w:cs="Arial" w:eastAsia="Arial" w:hAnsi="Arial"/>
          <w:b w:val="false"/>
          <w:bCs w:val="false"/>
          <w:i w:val="false"/>
          <w:iCs w:val="false"/>
          <w:sz w:val="22"/>
          <w:szCs w:val="22"/>
        </w:rPr>
        <w:t xml:space="preserve">The Account entity is the second cross-domain shared entity in the implementation, following the Contact entity. While Contact spans all four domains with seven contact types, Account spans three domains with three account types. The Client Recruiting (CR) and Fundraising (FU) domains have summary-level data only — this Entity PRD will require updates when those domain process documents are completed.</w:t>
      </w:r>
    </w:p>
    <w:p>
      <w:pPr>
        <w:spacing w:after="120"/>
      </w:pPr>
      <w:r>
        <w:rPr>
          <w:rFonts w:ascii="Arial" w:cs="Arial" w:eastAsia="Arial" w:hAnsi="Arial"/>
          <w:b/>
          <w:bCs/>
          <w:i w:val="false"/>
          <w:iCs w:val="false"/>
          <w:sz w:val="22"/>
          <w:szCs w:val="22"/>
        </w:rPr>
        <w:t xml:space="preserve">Domain coverage:</w:t>
      </w:r>
      <w:r>
        <w:rPr>
          <w:rFonts w:ascii="Arial" w:cs="Arial" w:eastAsia="Arial" w:hAnsi="Arial"/>
          <w:b w:val="false"/>
          <w:bCs w:val="false"/>
          <w:i w:val="false"/>
          <w:iCs w:val="false"/>
          <w:sz w:val="22"/>
          <w:szCs w:val="22"/>
        </w:rPr>
        <w:t xml:space="preserve"> The Mentoring (MN) domain has complete field-level detail from the reconciled Domain PRD v1.0 and five process documents. The Client Recruiting (CR) and Fundraising (FU) domains have summary-level data from legacy Domain PRDs. This Entity PRD will require updates when CR and FU domain process documents are completed.</w:t>
      </w:r>
    </w:p>
    <w:p>
      <w:pPr>
        <w:spacing w:after="120"/>
      </w:pPr>
      <w:r>
        <w:rPr>
          <w:rFonts w:ascii="Arial" w:cs="Arial" w:eastAsia="Arial" w:hAnsi="Arial"/>
          <w:b/>
          <w:bCs/>
          <w:i w:val="false"/>
          <w:iCs w:val="false"/>
          <w:sz w:val="22"/>
          <w:szCs w:val="22"/>
        </w:rPr>
        <w:t xml:space="preserve">Cross-reference:</w:t>
      </w:r>
      <w:r>
        <w:rPr>
          <w:rFonts w:ascii="Arial" w:cs="Arial" w:eastAsia="Arial" w:hAnsi="Arial"/>
          <w:b w:val="false"/>
          <w:bCs w:val="false"/>
          <w:i w:val="false"/>
          <w:iCs w:val="false"/>
          <w:sz w:val="22"/>
          <w:szCs w:val="22"/>
        </w:rPr>
        <w:t xml:space="preserve"> The Contact Entity PRD v1.0 (CON-DEC-001) established that Primary Contact is a bool on the Contact-to-Account relationship. That relationship-level attribute is defined in this document (Section 4).</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Account entity because of its Company entity type. These fields are not created by YAML. They are documented here so process documents and Entity PRDs can reference them correctly, and to prevent duplicate field creation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Name (MN-INTAKE-DAT-001), Organization Name (CR, FU)</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MN-MATCH, MN-ENGAGE, MN-INACTIVE, MN-CLOSE, CR, FU</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emailAddress</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 (multi)</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Organization email address</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 FU</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phoneNumber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 (multi)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Organization phone number (CR, FU)</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 FU</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website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Website (MN-INTAKE-DAT-002), Partner/Funder website</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MN-MATCH, MN-ENGAGE, CR, FU</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billingAddressStreet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street portion (MN-INTAKE-DAT-003)</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MN-MATCH, MN-ENGAGE, CR, FU</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billingAddressCity</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city portion</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CR, FU</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billingAddressState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state portion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CR, FU</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billingAddressCountry</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country portion</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CR, FU</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billingAddressPostalCode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postal code portion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CR, FU</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shippingAddressStreet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Shipping address composite — not referenced in PRDs</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referenced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shippingAddressCity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Shipping address composite — not referenced in PRDs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referenced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shippingAddressState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Shipping address composite — not referenced in PRDs</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referenced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shippingAddressCountry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Shipping address composite — not referenced in PRDs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referenced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shippingAddressPostalCode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Shipping address composite — not referenced in PRDs</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referenced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sicCode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Standard Industrial Classification code — not referenced in PRDs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referenced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General description/notes (native plain text)</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 (Partner 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address:</w:t>
      </w:r>
      <w:r>
        <w:rPr>
          <w:rFonts w:ascii="Arial" w:cs="Arial" w:eastAsia="Arial" w:hAnsi="Arial"/>
          <w:b w:val="false"/>
          <w:bCs w:val="false"/>
          <w:i w:val="false"/>
          <w:iCs w:val="false"/>
          <w:sz w:val="22"/>
          <w:szCs w:val="22"/>
        </w:rPr>
        <w:t xml:space="preserve"> The MN domain collects business address during Client Intake (MN-INTAKE-DAT-003). The CR and FU domains also reference organization address for partners and funders. All map to the native billingAddress composite. The shippingAddress composite is available but not referenced by any PRD.</w:t>
      </w:r>
    </w:p>
    <w:p>
      <w:pPr>
        <w:spacing w:after="120"/>
      </w:pPr>
      <w:r>
        <w:rPr>
          <w:rFonts w:ascii="Arial" w:cs="Arial" w:eastAsia="Arial" w:hAnsi="Arial"/>
          <w:b/>
          <w:bCs/>
          <w:i w:val="false"/>
          <w:iCs w:val="false"/>
          <w:sz w:val="22"/>
          <w:szCs w:val="22"/>
        </w:rPr>
        <w:t xml:space="preserve">Note on name:</w:t>
      </w:r>
      <w:r>
        <w:rPr>
          <w:rFonts w:ascii="Arial" w:cs="Arial" w:eastAsia="Arial" w:hAnsi="Arial"/>
          <w:b w:val="false"/>
          <w:bCs w:val="false"/>
          <w:i w:val="false"/>
          <w:iCs w:val="false"/>
          <w:sz w:val="22"/>
          <w:szCs w:val="22"/>
        </w:rPr>
        <w:t xml:space="preserve"> The native name field serves as the organization name for all account types. For Client accounts, the MN Domain PRD notes that name is optional because pre-startup applicants may not yet have a business name.</w:t>
      </w:r>
    </w:p>
    <w:p>
      <w:pPr>
        <w:spacing w:after="120"/>
      </w:pPr>
      <w:r>
        <w:rPr>
          <w:rFonts w:ascii="Arial" w:cs="Arial" w:eastAsia="Arial" w:hAnsi="Arial"/>
          <w:b/>
          <w:bCs/>
          <w:i w:val="false"/>
          <w:iCs w:val="false"/>
          <w:sz w:val="22"/>
          <w:szCs w:val="22"/>
        </w:rPr>
        <w:t xml:space="preserve">Note on description:</w:t>
      </w:r>
      <w:r>
        <w:rPr>
          <w:rFonts w:ascii="Arial" w:cs="Arial" w:eastAsia="Arial" w:hAnsi="Arial"/>
          <w:b w:val="false"/>
          <w:bCs w:val="false"/>
          <w:i w:val="false"/>
          <w:iCs w:val="false"/>
          <w:sz w:val="22"/>
          <w:szCs w:val="22"/>
        </w:rPr>
        <w:t xml:space="preserve"> The native description field is plain text (not rich text). Type-specific wysiwyg notes fields are defined in Section 3 for use cases requiring rich text formatting and role-based access control.</w:t>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scope: shared fields (visible for all types, no dynamic logic required) and type-specific fields (controlled by dynamic logic visibility rules).</w:t>
      </w:r>
    </w:p>
    <w:p>
      <w:pPr>
        <w:pStyle w:val="Heading2"/>
        <w:spacing w:after="120" w:before="240"/>
      </w:pPr>
      <w:r>
        <w:rPr>
          <w:rFonts w:ascii="Arial" w:cs="Arial" w:eastAsia="Arial" w:hAnsi="Arial"/>
          <w:b/>
          <w:bCs/>
          <w:i w:val="false"/>
          <w:iCs w:val="false"/>
          <w:color w:val="1F3864"/>
          <w:sz w:val="28"/>
          <w:szCs w:val="28"/>
        </w:rPr>
        <w:t xml:space="preserve">3.1 Shared Fields</w:t>
      </w:r>
    </w:p>
    <w:p>
      <w:pPr>
        <w:spacing w:after="120"/>
      </w:pPr>
      <w:r>
        <w:rPr>
          <w:rFonts w:ascii="Arial" w:cs="Arial" w:eastAsia="Arial" w:hAnsi="Arial"/>
          <w:b w:val="false"/>
          <w:bCs w:val="false"/>
          <w:i w:val="false"/>
          <w:iCs w:val="false"/>
          <w:sz w:val="22"/>
          <w:szCs w:val="22"/>
        </w:rPr>
        <w:t xml:space="preserve">The following custom fields apply to all account types. No dynamic logic visibility rules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Partner, Donor/Sponsor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EI-2a</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discriminator field for the Account entity. Determines which type-specific fields and panels are visible. An Account may hold any combination of values. Set based on how the organization enters the system (e.g., Client at MN-INTAKE submission, Partner at CR-PARTNER creation, Donor/Sponsor when a contribution is recorded).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All.</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parentOrganization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Self-referencing link to Account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CR-PARTNER-REQ-009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another Account record that is the parent organization. Supports organizational hierarchies such as branches, chapters, subsidiaries, or franchise relationships. Both parent and child are independent records with their own profiles. Originally defined for Partner organizations (CR domain) but applicable to all account types.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(originally), all (shared).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linkedInProfile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organization’s LinkedIn page URL. Provides organizational background context. Mirrors the linkedInProfile field on the Contact entity.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(originally), all (shared).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3.2 Client-Specific Fields</w:t>
      </w:r>
    </w:p>
    <w:p>
      <w:pPr>
        <w:spacing w:after="120"/>
      </w:pPr>
      <w:r>
        <w:rPr>
          <w:rFonts w:ascii="Arial" w:cs="Arial" w:eastAsia="Arial" w:hAnsi="Arial"/>
          <w:b w:val="false"/>
          <w:bCs w:val="false"/>
          <w:i w:val="false"/>
          <w:iCs w:val="false"/>
          <w:sz w:val="22"/>
          <w:szCs w:val="22"/>
        </w:rPr>
        <w:t xml:space="preserve">The following custom fields are visible only when accountType has Client. All fields in this section use the dynamic logic visibility rule: accountType has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organizationType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For-Profit, Non-Profit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organization operates as a for-profit business or a nonprofit. Drives funder reporting categories.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businessStage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Pre-Startup, Startup, Early Stage, Growth Stage, Established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stage of business development the client organization is in. Used for mentor matching and funder reporting.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industrySector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Agriculture, Forestry, Fishing and Hunting; Mining, Quarrying, and Oil and Gas Extraction; Utilities; Construction; Manufacturing; Wholesale Trade; Retail Trade; Transportation and Warehousing; Information; Finance and Insurance; Real Estate and Rental and Leasing; Professional, Scientific, and Technical Services; Management of Companies and Enterprises; Administrative and Support and Waste Management; Educational Services; Health Care and Social Assistance; Arts, Entertainment, and Recreation; Accommodation and Food Services; Other Services (except Public Administration); Public Administration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industry sector based on NAICS. 20 standard NAICS two-digit sector titles explicitly enumerated per MR-Y9-EXC-001. This field is an enum (single-select) on Account; the corresponding Contact.industrySectors field is a multiEnum (multi-select). Used for mentor matching (compared against the mentor’s industrySectors field) and impact reporting. Drives the Industry Subsector filter. Values must align with the industrySectors field on the Mentor Contact.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industrySubsector</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~100 subsectors filtered by Industry Sector — see ACT-ISS-003</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MN-INTAKE-DAT-007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industry subsector within the selected Industry Sector. Filtered dependent field.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clientNotes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MN-DOMAIN</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Rich text notes specific to the client relationship.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Field-level security: restricted to Client Administrator and above. Hidden from Mentors.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clientStatus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TBD pending CBM leadership input — see CR-MARKETING-ISS-004. Straw man: Prospect, Applicant, Active Client, On Hold, Former Client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Prospect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CR-MARKETING SDO</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t xml:space="preserve">Client-relationship lifecycle of a client company. Tracks where the company is in their relationship with CBM, from initial marketing-stage prospect through active engagement to former client. Set to Prospect at Account creation when the Account is first created via a CR-MARKETING pathway with company information provided. Transitions to Applicant at MN-INTAKE when a linked Contact submits an application (or a new Account is created at Applicant if none exists, using the existing pre-startup naming logic from MN-INTAKE-REQ-008). Distinct from Contact.prospectStatus, which tracks the marketing-funnel state of an individual person. The two fields answer different questions: Account.clientStatus is about the company's relationship with CBM; Contact.prospectStatus is about an individual's marketing engagement. Multiple Contacts can be linked to the same Account at the same engagement, and the Account-level clientStatus correctly represents the relationship without ambiguity from any individual Contact's prospectStatus. Closes ACT-ISS-001. Source: CR-MARKETING Sub-Domain Overview v1.0. Domains: CR, MN.</w:t>
            </w:r>
          </w:p>
        </w:tc>
      </w:tr>
      <w:tr>
        <w:tc>
          <w:tcPr>
            <w:tcW w:type="dxa" w:w="2200"/>
          </w:tcPr>
          <w:p>
            <w:r>
              <w:t>applicantSinceTimestamp</w:t>
            </w:r>
          </w:p>
        </w:tc>
        <w:tc>
          <w:tcPr>
            <w:tcW w:type="dxa" w:w="1100"/>
          </w:tcPr>
          <w:p>
            <w:r>
              <w:t>datetime</w:t>
            </w:r>
          </w:p>
        </w:tc>
        <w:tc>
          <w:tcPr>
            <w:tcW w:type="dxa" w:w="800"/>
          </w:tcPr>
          <w:p>
            <w:r>
              <w:t>No</w:t>
            </w:r>
          </w:p>
        </w:tc>
        <w:tc>
          <w:tcPr>
            <w:tcW w:type="dxa" w:w="2400"/>
          </w:tcPr>
          <w:p>
            <w:r>
              <w:t>—</w:t>
            </w:r>
          </w:p>
        </w:tc>
        <w:tc>
          <w:tcPr>
            <w:tcW w:type="dxa" w:w="1000"/>
          </w:tcPr>
          <w:p>
            <w:r>
              <w:t>— (system-populated by MN-INTAKE)</w:t>
            </w:r>
          </w:p>
        </w:tc>
        <w:tc>
          <w:tcPr>
            <w:tcW w:type="dxa" w:w="1860"/>
          </w:tcPr>
          <w:p>
            <w:r>
              <w:t>CR-EVENTS-CONVERT-DAT-025</w:t>
            </w:r>
          </w:p>
        </w:tc>
      </w:tr>
      <w:tr>
        <w:tc>
          <w:tcPr>
            <w:tcW w:type="dxa" w:w="9360"/>
            <w:gridSpan w:val="6"/>
          </w:tcPr>
          <w:p>
            <w:r>
              <w:t>Timestamp recording when this Account’s clientStatus first transitioned to Applicant. System-populated by MN-INTAKE (REQ-011, current in MN-INTAKE v2.5). The “if currently null” guard ensures the timestamp records the first time the account reached Applicant status, not subsequent re-applications. Used by CR-EVENTS-CONVERT as the application-side anchor for conversion window calculation. Source: CR-EVENTS-CONVERT v1.0. Domains: CR, MN.</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3.3 Partner-Specific Fields</w:t>
      </w:r>
    </w:p>
    <w:p>
      <w:pPr>
        <w:spacing w:after="120"/>
      </w:pPr>
      <w:r>
        <w:rPr>
          <w:rFonts w:ascii="Arial" w:cs="Arial" w:eastAsia="Arial" w:hAnsi="Arial"/>
          <w:b w:val="false"/>
          <w:bCs w:val="false"/>
          <w:i w:val="false"/>
          <w:iCs w:val="false"/>
          <w:sz w:val="22"/>
          <w:szCs w:val="22"/>
        </w:rPr>
        <w:t xml:space="preserve">The following custom fields are visible only when accountType has Partner. All fields in this section use the dynamic logic visibility rule: accountType has Partner.</w:t>
      </w:r>
    </w:p>
    <w:p>
      <w:pPr>
        <w:spacing w:after="120"/>
      </w:pPr>
      <w:r>
        <w:rPr>
          <w:rFonts w:ascii="Arial" w:cs="Arial" w:eastAsia="Arial" w:hAnsi="Arial"/>
          <w:b/>
          <w:bCs/>
          <w:i w:val="false"/>
          <w:iCs w:val="false"/>
          <w:color w:val="1F3864"/>
          <w:sz w:val="22"/>
          <w:szCs w:val="22"/>
        </w:rPr>
        <w:t xml:space="preserve">Classification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partnerOrganizationType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Chamber of Commerce, SBDC, Economic Development Agency, University / Academic Institution, Bank / Financial Institution, Nonprofit / Community Organization, Government Agency, Corporate Sponsor,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CR-PARTNER-REQ-001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category of organization the partner represents.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partnerType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Referral Partner, Co-Delivery Partner, Funding / Sponsorship Partner, Resource Partner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CR-PARTNER-REQ-003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nature of the partnership with CBM. A partner may hold more than one type simultaneously — for example, an organization that both refers clients and co-delivers programs.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Active, Lapsed, Inactive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CR-PARTNER-REQ-002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stage of the partner relationship. Status changes may be accompanied by a note at the Partner Coordinator’s discretion.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audited.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partnershipStartDate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date the partnership was formally established. Optional for Prospect accounts, expected when status transitions to Active.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Relationship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assignedLiaison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Contact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CR-PARTNER-REQ-001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CBM member responsible for managing this partner relationship. Links to a Contact record. Required for Active partners. Only the current liaison is recorded — liaison history is tracked through the activity stream.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publicAnnouncementAllowed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CBM may publicly reference this partnership in its marketing and communications.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Service Area and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geographicServiceArea</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zip codes from master list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hAnsi="Arial"/>
                <w:b w:val="0"/>
                <w:color w:val="888888"/>
                <w:sz w:val="20"/>
              </w:rPr>
              <w:t xml:space="preserve">The geographic territory the organization primarily serves or funds, expressed as a list of zip codes. Used by Partner organizations to record their service area and by Donor/Sponsor organizations to record their funding territory for territory-based attribution reporting. </w:t>
            </w:r>
            <w:r>
              <w:rPr>
                <w:rFonts w:ascii="Arial" w:hAnsi="Arial"/>
                <w:b/>
                <w:color w:val="888888"/>
                <w:sz w:val="20"/>
              </w:rPr>
              <w:t xml:space="preserve">Domains: </w:t>
            </w:r>
            <w:r>
              <w:rPr>
                <w:rFonts w:ascii="Arial" w:hAnsi="Arial"/>
                <w:b w:val="0"/>
                <w:color w:val="888888"/>
                <w:sz w:val="20"/>
              </w:rPr>
              <w:t xml:space="preserve">CR, FU. </w:t>
            </w:r>
            <w:r>
              <w:rPr>
                <w:rFonts w:ascii="Arial" w:hAnsi="Arial"/>
                <w:b/>
                <w:color w:val="888888"/>
                <w:sz w:val="20"/>
              </w:rPr>
              <w:t xml:space="preserve">Visibility: </w:t>
            </w:r>
            <w:r>
              <w:rPr>
                <w:rFonts w:ascii="Arial" w:hAnsi="Arial"/>
                <w:b w:val="0"/>
                <w:color w:val="888888"/>
                <w:sz w:val="20"/>
              </w:rPr>
              <w:t xml:space="preserve">accountType has Partner OR accountType has Donor/Sponsor. </w:t>
            </w:r>
            <w:r>
              <w:rPr>
                <w:rFonts w:ascii="Arial" w:hAnsi="Arial"/>
                <w:b/>
                <w:color w:val="888888"/>
                <w:sz w:val="20"/>
              </w:rPr>
              <w:t xml:space="preserve">Implementation: </w:t>
            </w:r>
            <w:r>
              <w:rPr>
                <w:rFonts w:ascii="Arial" w:hAnsi="Arial"/>
                <w:b w:val="0"/>
                <w:color w:val="888888"/>
                <w:sz w:val="20"/>
              </w:rPr>
              <w:t>zip code values are queryable for set-membership against Contact addressPostalCode to support territory-based attribution. The Northeast Ohio zip code master list is defined during implementation. Format question (free text vs. controlled list) resolved by ACT-ISS-004 closure: structured zip code list.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targetPopulation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population or business segment the partner focuses on — for example, minority-owned businesses, women entrepreneurs, or underserved communities.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Rich text notes on the partner relationship, key milestones, and relevant context.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CR.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Field-level security: restricted to Partner Coordinator and above. Hidden from Mentors.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3.4 Donor/Sponsor-Specific Fields</w:t>
      </w:r>
    </w:p>
    <w:p>
      <w:pPr>
        <w:spacing w:after="120"/>
      </w:pPr>
      <w:r>
        <w:rPr>
          <w:rFonts w:ascii="Arial" w:cs="Arial" w:eastAsia="Arial" w:hAnsi="Arial"/>
          <w:b w:val="false"/>
          <w:bCs w:val="false"/>
          <w:i w:val="false"/>
          <w:iCs w:val="false"/>
          <w:sz w:val="22"/>
          <w:szCs w:val="22"/>
        </w:rPr>
        <w:t xml:space="preserve">The following custom fields are visible only when accountType has Donor/Sponsor. All fields in this section use the dynamic logic visibility rule: accountType has Donor/Sponsor.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funderType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Corporation, Foundation, Government Agency, Community Foundation, Individual (Organization),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FU-PROSPECT</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category of funding organization.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FU.</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funderStatus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Contacted, In Discussion, Committed, Active, Lapsed, Closed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FU-PROSPECT</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stage of the funder relationship with CBM.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FU.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audited.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funderLifetimeGiving</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currency</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FU-STEWARD</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Total of all linked Contribution records (Donations, Grants, Sponsorships) for this organization.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FU.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funderNotes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FU-PROSPECT</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Rich text notes on the funder relationship, interests, giving history context, and stewardship activities.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FU.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Field-level security: restricted to Donor/Sponsor Coordinator and above. Hidden from Mentors.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assignedSponsorCoordinator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Contact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FU-PROSPECT-DAT-027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 (Member or Mentor) leading the relationship with this Funder Organization. Analogous to assignedLiaison on Partner Accounts. Optional in general; required by the time funderStatus reaches Active. Set, changed, and cleared by the Donor / Sponsor Coordinator at any time. Only the current value is stored; assignment history lives in the activity stream.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FU.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conditionally required when funderStatus = Active.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lastContactDate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FU-STEWARD-DAT-020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of the most recent stewardship outreach to this Funder Organization. Manually set by the Donor / Sponsor Coordinator during the FU-STEWARD sweep after each outreach. The system does not auto-populate or auto-update this field from any source. Read by the Active Donors and Funders Sweep List as the primary sort field (null values first).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FU.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manually-set only.</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3.5 Incomplete Domain Fields</w:t>
      </w:r>
    </w:p>
    <w:p>
      <w:pPr>
        <w:spacing w:after="120"/>
      </w:pPr>
      <w:r>
        <w:rPr>
          <w:rFonts w:ascii="Arial" w:cs="Arial" w:eastAsia="Arial" w:hAnsi="Arial"/>
          <w:b w:val="false"/>
          <w:bCs w:val="false"/>
          <w:i w:val="false"/>
          <w:iCs w:val="false"/>
          <w:sz w:val="22"/>
          <w:szCs w:val="22"/>
        </w:rPr>
        <w:t xml:space="preserve">The following account types may have additional fields defined when their respective domain process documents are completed.</w:t>
      </w:r>
    </w:p>
    <w:p>
      <w:pPr>
        <w:pStyle w:val="ListParagraph"/>
        <w:numPr>
          <w:ilvl w:val="0"/>
          <w:numId w:val="2"/>
        </w:numPr>
        <w:spacing w:after="60"/>
      </w:pPr>
      <w:r>
        <w:rPr>
          <w:rFonts w:ascii="Arial" w:cs="Arial" w:eastAsia="Arial" w:hAnsi="Arial"/>
          <w:b/>
          <w:bCs/>
          <w:i w:val="false"/>
          <w:iCs w:val="false"/>
          <w:sz w:val="22"/>
          <w:szCs w:val="22"/>
        </w:rPr>
        <w:t xml:space="preserve">Client</w:t>
      </w:r>
      <w:r>
        <w:rPr>
          <w:rFonts w:ascii="Arial" w:cs="Arial" w:eastAsia="Arial" w:hAnsi="Arial"/>
          <w:b w:val="false"/>
          <w:bCs w:val="false"/>
          <w:i w:val="false"/>
          <w:iCs w:val="false"/>
          <w:sz w:val="22"/>
          <w:szCs w:val="22"/>
        </w:rPr>
        <w:t xml:space="preserve"> — A Client-specific lifecycle field (analogous to partnerStatus or funderStatus) is an open issue (ACT-ISS-001). Additional Client fields may be defined during CR domain process definition.</w:t>
      </w:r>
    </w:p>
    <w:p>
      <w:pPr>
        <w:pStyle w:val="ListParagraph"/>
        <w:numPr>
          <w:ilvl w:val="0"/>
          <w:numId w:val="2"/>
        </w:numPr>
        <w:spacing w:after="60"/>
      </w:pPr>
      <w:r>
        <w:rPr>
          <w:rFonts w:ascii="Arial" w:cs="Arial" w:eastAsia="Arial" w:hAnsi="Arial"/>
          <w:b/>
          <w:bCs/>
          <w:i w:val="false"/>
          <w:iCs w:val="false"/>
          <w:sz w:val="22"/>
          <w:szCs w:val="22"/>
        </w:rPr>
        <w:t xml:space="preserve">Partner</w:t>
      </w:r>
      <w:r>
        <w:rPr>
          <w:rFonts w:ascii="Arial" w:cs="Arial" w:eastAsia="Arial" w:hAnsi="Arial"/>
          <w:b w:val="false"/>
          <w:bCs w:val="false"/>
          <w:i w:val="false"/>
          <w:iCs w:val="false"/>
          <w:sz w:val="22"/>
          <w:szCs w:val="22"/>
        </w:rPr>
        <w:t xml:space="preserve"> — Additional Partner fields may be defined when CR domain process documents are completed under the new document production process. Current fields are derived from the legacy CR Domain PRD.</w:t>
      </w:r>
    </w:p>
    <w:p>
      <w:pPr>
        <w:pStyle w:val="ListParagraph"/>
        <w:numPr>
          <w:ilvl w:val="0"/>
          <w:numId w:val="2"/>
        </w:numPr>
        <w:spacing w:after="60"/>
      </w:pPr>
      <w:r>
        <w:rPr>
          <w:rFonts w:ascii="Arial" w:cs="Arial" w:eastAsia="Arial" w:hAnsi="Arial"/>
          <w:b/>
          <w:bCs/>
          <w:i w:val="false"/>
          <w:iCs w:val="false"/>
          <w:sz w:val="22"/>
          <w:szCs w:val="22"/>
        </w:rPr>
        <w:t xml:space="preserve">Donor/Sponsor</w:t>
      </w:r>
      <w:r>
        <w:rPr>
          <w:rFonts w:ascii="Arial" w:cs="Arial" w:eastAsia="Arial" w:hAnsi="Arial"/>
          <w:b w:val="false"/>
          <w:bCs w:val="false"/>
          <w:i w:val="false"/>
          <w:iCs w:val="false"/>
          <w:sz w:val="22"/>
          <w:szCs w:val="22"/>
        </w:rPr>
        <w:t xml:space="preserve"> — Additional Donor/Sponsor fields may be defined when FU domain process documents are completed under the new document production process. Current fields are derived from the legacy FU Domain PRD.</w:t>
      </w:r>
    </w:p>
    <w:p>
      <w:pPr>
        <w:pStyle w:val="Heading2"/>
        <w:spacing w:after="120" w:before="240"/>
      </w:pPr>
      <w:r>
        <w:rPr>
          <w:rFonts w:ascii="Arial" w:cs="Arial" w:eastAsia="Arial" w:hAnsi="Arial"/>
          <w:b/>
          <w:bCs/>
          <w:i w:val="false"/>
          <w:iCs w:val="false"/>
          <w:color w:val="1F3864"/>
          <w:sz w:val="28"/>
          <w:szCs w:val="28"/>
        </w:rPr>
        <w:t xml:space="preserve">3.6 Client Business Profile</w:t>
      </w:r>
    </w:p>
    <w:p>
      <w:pPr>
        <w:spacing w:after="120"/>
      </w:pPr>
      <w:r>
        <w:rPr>
          <w:rFonts w:ascii="Arial" w:cs="Arial" w:eastAsia="Arial" w:hAnsi="Arial"/>
          <w:b w:val="false"/>
          <w:bCs w:val="false"/>
          <w:i w:val="false"/>
          <w:iCs w:val="false"/>
          <w:sz w:val="22"/>
          <w:szCs w:val="22"/>
        </w:rPr>
        <w:t xml:space="preserve">This section defines 81 custom fields on the native Account entity that together form a comprehensive Client business profile. The intent is to capture enough information about each Client organization that any assigned mentor can review the record and have full context for the engagement without re-asking foundational questions session over session.</w:t>
      </w:r>
    </w:p>
    <w:p>
      <w:pPr>
        <w:spacing w:after="120"/>
      </w:pPr>
      <w:r>
        <w:rPr>
          <w:rFonts w:ascii="Arial" w:cs="Arial" w:eastAsia="Arial" w:hAnsi="Arial"/>
          <w:b w:val="false"/>
          <w:bCs w:val="false"/>
          <w:i w:val="false"/>
          <w:iCs w:val="false"/>
          <w:sz w:val="22"/>
          <w:szCs w:val="22"/>
        </w:rPr>
        <w:t xml:space="preserve">All fields in this section are visible only when accountType has Client and are owned by the Mentoring (MN) domain. Promotion of selected fields to additional account types (Partner, Donor/Sponsor) is on the backlog but is not part of v1.10.</w:t>
      </w:r>
    </w:p>
    <w:p>
      <w:pPr>
        <w:spacing w:after="120"/>
      </w:pPr>
      <w:r>
        <w:rPr>
          <w:rFonts w:ascii="Arial" w:cs="Arial" w:eastAsia="Arial" w:hAnsi="Arial"/>
          <w:b w:val="false"/>
          <w:bCs w:val="false"/>
          <w:i w:val="false"/>
          <w:iCs w:val="false"/>
          <w:sz w:val="22"/>
          <w:szCs w:val="22"/>
        </w:rPr>
        <w:t xml:space="preserve">The field set is organized into 15 functional categories. Categories are rendered as subsections 3.6.1 through 3.6.15 below. Each field carries the visibleWhen predicate accountType contains Client and is implemented in the companion YAML program file programs/MN/MN-Account-business-profile.yaml. The Account.layout.detail panels in that YAML group the categories into nine UI tabs for usability.</w:t>
      </w:r>
    </w:p>
    <w:p>
      <w:pPr>
        <w:spacing w:after="120"/>
      </w:pPr>
      <w:r>
        <w:rPr>
          <w:rFonts w:ascii="Arial" w:cs="Arial" w:eastAsia="Arial" w:hAnsi="Arial"/>
          <w:b w:val="false"/>
          <w:bCs w:val="false"/>
          <w:i/>
          <w:iCs/>
          <w:sz w:val="22"/>
          <w:szCs w:val="22"/>
        </w:rPr>
        <w:t xml:space="preserve">Structural deferrals: Seven candidate fields from the source inventory are not included in v1.10 (see ACT-ISS-005 for the deferral list and rationale per field). Three categories (Certifications, Funding, Professional Advisors) flagged a structural question about whether to model the category as a child entity rather than as flat fields on Account; v1.10 commits to flat fields as the first-pass choice, with the restructure flagged as a candidate for a future major revision if per-record tracking of issue dates, expiration dates, amounts, or contact details becomes important.</w:t>
      </w:r>
    </w:p>
    <w:p>
      <w:pPr>
        <w:pStyle w:val="Heading3"/>
        <w:spacing w:after="80" w:before="180"/>
      </w:pPr>
      <w:r>
        <w:rPr>
          <w:rFonts w:ascii="Arial" w:cs="Arial" w:eastAsia="Arial" w:hAnsi="Arial"/>
          <w:b/>
          <w:bCs/>
          <w:i w:val="false"/>
          <w:iCs w:val="false"/>
          <w:color w:val="2E75B6"/>
          <w:sz w:val="24"/>
          <w:szCs w:val="24"/>
        </w:rPr>
        <w:t xml:space="preserve">3.6.1 Identity and Legal</w:t>
      </w:r>
    </w:p>
    <w:p>
      <w:pPr>
        <w:spacing w:after="120"/>
      </w:pPr>
      <w:r>
        <w:rPr>
          <w:rFonts w:ascii="Arial" w:cs="Arial" w:eastAsia="Arial" w:hAnsi="Arial"/>
          <w:b w:val="false"/>
          <w:bCs w:val="false"/>
          <w:i w:val="false"/>
          <w:iCs w:val="false"/>
          <w:sz w:val="22"/>
          <w:szCs w:val="22"/>
        </w:rPr>
        <w:t xml:space="preserve">Captures whether the business is formally established and what kind of legal entity it is. Mentors need this context for advice on operating-agreement issues, liability, and tax implications. Includes Federal EIN status, Ohio vendor's license status, SAM.gov registration (the gateway to federal contracting), and a free-text capture of local licenses and permits.</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legalBusinessName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varchar (255 chars)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exact name as filed with the Secretary of State. May differ from the colloquial name in the native Account.name field.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doingBusinessAsNames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Free-text list of any DBA or fictitious business names the client operates under. Some businesses operate multiple brands under one legal entity.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legalEntityType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(12): Sole Proprietorship; General Partnership;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legal form under which the business is organized. Aligned with SBA Form 641 question 29 with additional Ohio-relevant values (B-Corp, Cooperative).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stateOfFormation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varchar (2 chars)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Two-letter state code for the state in which the business is legally formed. Often Ohio for CBM clients but some businesses incorporate elsewhere (commonly Delaware) while operating in Ohio.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formationDate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date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date the business was legally formed.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yearFounded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(1900-2099)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year the owner considers the business to have started, which may predate legal formation.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federalEinOnFile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has obtained a federal Employer Identification Number. The number itself is not captured; the flag is sufficient for mentoring purposes.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ohioVendorsLicenseOnFile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Ohio requires a vendor's license for businesses selling taxable goods or services.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registeredOnSamGov</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SAM.gov registration is the gateway to federal contracting. Flags whether the client is positioned for government contract work.</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localLicensesAndPermits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Free-text list of city, county, and industry-specific licenses (contractor's license, food service permit, professional licenses, etc.).</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3.6.2 Ownership and Control</w:t>
      </w:r>
    </w:p>
    <w:p>
      <w:pPr>
        <w:spacing w:after="120"/>
      </w:pPr>
      <w:r>
        <w:rPr>
          <w:rFonts w:ascii="Arial" w:cs="Arial" w:eastAsia="Arial" w:hAnsi="Arial"/>
          <w:b w:val="false"/>
          <w:bCs w:val="false"/>
          <w:i w:val="false"/>
          <w:iCs w:val="false"/>
          <w:sz w:val="22"/>
          <w:szCs w:val="22"/>
        </w:rPr>
        <w:t xml:space="preserve">Aggregate ownership composition of the business at the level needed to drive certification eligibility. The percent-owned fields tie directly to the 51-percent thresholds in WOSB, MBE, VOSB, and equivalent Ohio and county programs. Owner demographics at the individual level are tracked on Contact, not Account, per SBA Form 641 convention. Family-business status and acquisition path round out the picture for mentors.</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numberOfOwners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Distinguishes solo entrepreneurs from partnerships and multi-owner businesses.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isFamilyOwnedBusiness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Family businesses face distinctive succession, governance, and conflict-management challenges.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percentOwnedByWomen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(0-100)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Drives eligibility for WOSB, EDWOSB, Ohio WBE, and Cuyahoga County WBE certifications (51 percent or more required). Note: the three percent-owned fields (women, minority, veterans) are independent measurements and may sum to more than 100 percent for owners belonging to multiple groups.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percentOwnedByMinority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(0-100)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Drives eligibility for SBA 8(a), Ohio MBE, and county MBE certifications. Minority groups per Ohio MBE rules include African American, American Indian, Hispanic, and Asian. Note: the three percent-owned fields (women, minority, veterans) are independent measurements and may sum to more than 100 percent for owners belonging to multiple groups.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percentOwnedByVeterans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(0-100)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Drives eligibility for VOSB, SDVOSB, and Ohio VFBE certifications. Note: the three percent-owned fields (women, minority, veterans) are independent measurements and may sum to more than 100 percent for owners belonging to multiple groups.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ownerNumberOfPriorBusinesses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Number of businesses the primary owner founded or owned previously. Distinguishes first-time entrepreneurs from serial founders.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acquisitionType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(8): Founded by Current Owner(s); Purchased from a Prior Owner;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path by which the current owner came to own the business. Materially affects mentoring approach.</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3.6.3 Certifications</w:t>
      </w:r>
    </w:p>
    <w:p>
      <w:pPr>
        <w:spacing w:after="120"/>
      </w:pPr>
      <w:r>
        <w:rPr>
          <w:rFonts w:ascii="Arial" w:cs="Arial" w:eastAsia="Arial" w:hAnsi="Arial"/>
          <w:b w:val="false"/>
          <w:bCs w:val="false"/>
          <w:i w:val="false"/>
          <w:iCs w:val="false"/>
          <w:sz w:val="22"/>
          <w:szCs w:val="22"/>
        </w:rPr>
        <w:t xml:space="preserve">Federal, state, and county certifications the business currently holds and those it is interested in pursuing. Drives mentor matching for certification expertise and informs which set-aside contracting opportunities are accessible to the client. See Implementation Notes regarding the structural decision to model certifications as flat multiEnum fields in v1.10.</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certificationsHeld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multiEnum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(16): SBA 8(a) Business Development; SBA Women-Owned Small Business (WOSB);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Federal, state, and county certifications the business currently holds. Drives mentor matching and informs the client's contracting opportunities. See inventory file for the structural alternative.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certificationsInterestedIn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multiEnum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(16): SBA 8(a) Business Development; SBA Women-Owned Small Business (WOSB);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Certifications the client is interested in pursuing. Flags mentoring opportunities and helps match mentors with certification expertise.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certificationNotes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Free-text capture of certification numbers, expiration dates, and in-progress applications.</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3.6.4 Industry Classification</w:t>
      </w:r>
    </w:p>
    <w:p>
      <w:pPr>
        <w:spacing w:after="120"/>
      </w:pPr>
      <w:r>
        <w:rPr>
          <w:rFonts w:ascii="Arial" w:cs="Arial" w:eastAsia="Arial" w:hAnsi="Arial"/>
          <w:b w:val="false"/>
          <w:bCs w:val="false"/>
          <w:i w:val="false"/>
          <w:iCs w:val="false"/>
          <w:sz w:val="22"/>
          <w:szCs w:val="22"/>
        </w:rPr>
        <w:t xml:space="preserve">Augments the existing industrySector and industrySubsector fields with a structured six-digit NAICS code and a plain-language business description. The NAICS code makes the business searchable against federal databases and SBA size standards.</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naicsCode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varchar (6 chars)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six-digit North American Industry Classification System code. Used by the SBA to determine small-business size eligibility for federal contracting programs. Distinct from the existing industrySector field (which captures the two-digit parent code value).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businessDescription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One- to two-paragraph plain-language description of what the business does. Reusable for marketing materials and grant applications.</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3.6.5 Financials</w:t>
      </w:r>
    </w:p>
    <w:p>
      <w:pPr>
        <w:spacing w:after="120"/>
      </w:pPr>
      <w:r>
        <w:rPr>
          <w:rFonts w:ascii="Arial" w:cs="Arial" w:eastAsia="Arial" w:hAnsi="Arial"/>
          <w:b w:val="false"/>
          <w:bCs w:val="false"/>
          <w:i w:val="false"/>
          <w:iCs w:val="false"/>
          <w:sz w:val="22"/>
          <w:szCs w:val="22"/>
        </w:rPr>
        <w:t xml:space="preserve">Bracketed annual revenue, revenue trend, profitability status, and fiscal year end. Brackets are used rather than exact dollar amounts to reduce client reluctance to share at intake. Exact annual revenue is deferred per ACT-ISS-005 and can be added in a later minor revision if the client base shows willingness to share precise numbers.</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annualRevenueRange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(11): Pre-Revenue; Under $50,000; ...; Prefer Not to Share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Bracketed annual revenue range. Bracketed rather than exact to lower the disclosure threshold for clients who are reluctant to share precise numbers.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revenueTrend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(6): Growing Significantly; Growing Modestly; ...; Too New to Tell</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Direction of revenue change over the past year. Direction often matters more than absolute value for mentoring conversations.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profitabilityStatus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(6): Profitable; Breakeven; ...; Prefer Not to Share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is currently making money. Directly relevant to mentoring focus area.</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fiscalYearEndMonth</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(12): January; February; ...; December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month in which the business closes its fiscal year. Most small businesses use a calendar year.</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3.6.6 Workforce</w:t>
      </w:r>
    </w:p>
    <w:p>
      <w:pPr>
        <w:spacing w:after="120"/>
      </w:pPr>
      <w:r>
        <w:rPr>
          <w:rFonts w:ascii="Arial" w:cs="Arial" w:eastAsia="Arial" w:hAnsi="Arial"/>
          <w:b w:val="false"/>
          <w:bCs w:val="false"/>
          <w:i w:val="false"/>
          <w:iCs w:val="false"/>
          <w:sz w:val="22"/>
          <w:szCs w:val="22"/>
        </w:rPr>
        <w:t xml:space="preserve">Employee headcount split between full-time, part-time, and 1099 contractors. Captures payroll-service usage, PEO/EOR usage, and hiring status. Includes two union flags — workforce represented by a labor union, and signatory contractor status with a trades union — which are particularly relevant for skilled-trades clients in Northeast Ohio.</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numberOfFullTimeEmployees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Headcount of W-2 employees working 30 or more hours per week. Splitting full-time from part-time gives better mentoring context than a single combined number.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numberOfPartTimeEmployees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Headcount of W-2 employees working fewer than 30 hours per week.</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numberOf1099Contractors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Independent contractors the business engages on an ongoing basis (not one-off project hires).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usesPayrollService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uses a third-party payroll provider.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usesPeoOrEor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uses a Professional Employer Organization or Employer of Record arrangement.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currentlyHiring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Surfaces an active mentoring need. Hiring and capital are the two most-requested small-business mentoring topics per SCORE data.</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workforceUnionized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business's workforce is covered by a collective bargaining agreement.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unionSignatoryContractor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is a signatory to a building trades union agreement. Highly relevant in Northeast Ohio for construction, electrical, plumbing, HVAC, and related skilled trades.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workforceLaborNotes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Free-text capture of which union(s), CBA expiration dates, or related labor-relations context.</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3.6.7 Customers and Markets</w:t>
      </w:r>
    </w:p>
    <w:p>
      <w:pPr>
        <w:spacing w:after="120"/>
      </w:pPr>
      <w:r>
        <w:rPr>
          <w:rFonts w:ascii="Arial" w:cs="Arial" w:eastAsia="Arial" w:hAnsi="Arial"/>
          <w:b w:val="false"/>
          <w:bCs w:val="false"/>
          <w:i w:val="false"/>
          <w:iCs w:val="false"/>
          <w:sz w:val="22"/>
          <w:szCs w:val="22"/>
        </w:rPr>
        <w:t xml:space="preserve">Who the business sells to and where. Includes a customer-concentration risk flag (single customer over 25 percent of revenue) that mentors should see immediately, since customer concentration is one of the most common causes of small-business failure. Export status and destinations match SBA Form 641 question 20b.</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primaryCustomerType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multiEnum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(5): Business-to-Business (B2B); Business-to-Consumer (B2C);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type of customers the business primarily sells to. A business may serve multiple customer types.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geographicMarketReach</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(7): Hyper-Local (within a few miles); Local (within Cuyahoga County); ...; International</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geographic area the business serves.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hasCustomerConcentrationRisk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Material risk factor. Customer concentration is one of the most common causes of small-business failure and should be visible to every mentor immediately.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exportingActive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currently exports. Aligned with SBA Form 641 question 20b.</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exportCountries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Free-text list of countries exported to. Shown only when exportingActive is true.</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3.6.8 Sales and Marketing</w:t>
      </w:r>
    </w:p>
    <w:p>
      <w:pPr>
        <w:spacing w:after="120"/>
      </w:pPr>
      <w:r>
        <w:rPr>
          <w:rFonts w:ascii="Arial" w:cs="Arial" w:eastAsia="Arial" w:hAnsi="Arial"/>
          <w:b w:val="false"/>
          <w:bCs w:val="false"/>
          <w:i w:val="false"/>
          <w:iCs w:val="false"/>
          <w:sz w:val="22"/>
          <w:szCs w:val="22"/>
        </w:rPr>
        <w:t xml:space="preserve">Sales channels in use, active social media presence, Google Business Profile status, and email marketing usage. These fields help mentors with marketing expertise gauge the client's current go-to-market posture without re-asking.</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salesChannels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multiEnum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(11): Direct Sales; Retail Storefront;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How the business reaches and sells to customers.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socialMediaPresence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multiEnum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(8): Facebook; Instagram;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Social media platforms on which the business maintains an active business presence.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hasGoogleBusinessProfile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has claimed and maintains a Google Business Profile.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usesEmailMarketing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runs an email marketing program.</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3.6.9 Operations</w:t>
      </w:r>
    </w:p>
    <w:p>
      <w:pPr>
        <w:spacing w:after="120"/>
      </w:pPr>
      <w:r>
        <w:rPr>
          <w:rFonts w:ascii="Arial" w:cs="Arial" w:eastAsia="Arial" w:hAnsi="Arial"/>
          <w:b w:val="false"/>
          <w:bCs w:val="false"/>
          <w:i w:val="false"/>
          <w:iCs w:val="false"/>
          <w:sz w:val="22"/>
          <w:szCs w:val="22"/>
        </w:rPr>
        <w:t xml:space="preserve">Physical and operational footprint. Includes the home-based and online-business flags from SBA Form 641, number of physical locations, primary-location ownership status, inventory model, and a free-text supply-chain notes field.</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isHomeBased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operates primarily from the owner's home. Aligned with SBA Form 641 question 26.</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conductsBusinessOnline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business operations are primarily conducted through online channels. Aligned with SBA Form 641 question 25.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numberOfPhysicalLocations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int (0-)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Count of physical business locations.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primaryLocationOwnership</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(7): Owned by the Business; Owned by the Owner Personally;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How the primary business location is held.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inventoryModel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(6): None — Service Only; Light Inventory;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How the business handles inventory.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supplyChainNotes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Free-text capture of supply chain concerns including sole-source suppliers, import dependence, and seasonality.</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3.6.10 Financial Infrastructure</w:t>
      </w:r>
    </w:p>
    <w:p>
      <w:pPr>
        <w:spacing w:after="120"/>
      </w:pPr>
      <w:r>
        <w:rPr>
          <w:rFonts w:ascii="Arial" w:cs="Arial" w:eastAsia="Arial" w:hAnsi="Arial"/>
          <w:b w:val="false"/>
          <w:bCs w:val="false"/>
          <w:i w:val="false"/>
          <w:iCs w:val="false"/>
          <w:sz w:val="22"/>
          <w:szCs w:val="22"/>
        </w:rPr>
        <w:t xml:space="preserve">Foundational financial-management posture: accounting method, accounting software usage, bookkeeping status, business bank account, business credit card, business credit line, and established business credit. Many micro-businesses commingle personal and business finances; the dedicated-business-bank-account flag is one of the most foundational mentoring topics.</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accountingMethod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Cash Basis; Accrual Basis; Hybrid; Not Yet Established</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basis of accounting the business uses.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usesAccountingSoftware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uses dedicated accounting software.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bookkeepingStatus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(6): Up-to-Date; Behind by Less Than 3 Months; ...; Outsourced and Up-to-Date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Current state of the business's bookkeeping.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hasBusinessBankAccount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has a bank account separate from the owner's personal accounts. Many micro-businesses commingle finances; a foundational mentoring topic.</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hasBusinessCreditCard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has at least one credit card in the business name.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hasLineOfCredit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has an active commercial line of credit.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businessCreditScoreEstablished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has built and maintains business credit separately from personal credit.</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3.6.11 Funding and Capital</w:t>
      </w:r>
    </w:p>
    <w:p>
      <w:pPr>
        <w:spacing w:after="120"/>
      </w:pPr>
      <w:r>
        <w:rPr>
          <w:rFonts w:ascii="Arial" w:cs="Arial" w:eastAsia="Arial" w:hAnsi="Arial"/>
          <w:b w:val="false"/>
          <w:bCs w:val="false"/>
          <w:i w:val="false"/>
          <w:iCs w:val="false"/>
          <w:sz w:val="22"/>
          <w:szCs w:val="22"/>
        </w:rPr>
        <w:t xml:space="preserve">Currently-seeking-capital flag and purpose. Three additional funding-history fields (sources used to date, total raised, amount sought) are deferred per ACT-ISS-005 pending the structural decision around whether to model funding events as a child entity.</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currentlySeekingCapital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Surfaces an active mentoring need. Capital is one of the two most-requested small-business mentoring topics per SCORE data.</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capitalSoughtPurpose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What the capital would be used for. Shown only when currentlySeekingCapital is true.</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3.6.12 Technology</w:t>
      </w:r>
    </w:p>
    <w:p>
      <w:pPr>
        <w:spacing w:after="120"/>
      </w:pPr>
      <w:r>
        <w:rPr>
          <w:rFonts w:ascii="Arial" w:cs="Arial" w:eastAsia="Arial" w:hAnsi="Arial"/>
          <w:b w:val="false"/>
          <w:bCs w:val="false"/>
          <w:i w:val="false"/>
          <w:iCs w:val="false"/>
          <w:sz w:val="22"/>
          <w:szCs w:val="22"/>
        </w:rPr>
        <w:t xml:space="preserve">Point of sale system, customer management system, and a free-text technology stack notes field. Lighter-weight capture than a full IT audit; intended to keep mentors from re-asking the same tools-list questions across sessions.</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pointOfSaleSystemUsed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varchar (100 chars)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POS system the business uses, if applicable.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customerSystemUsed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varchar (100 chars)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customer relationship management system the business uses, if any.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techStackNotes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Free-text capture of the business's broader technology posture.</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3.6.13 Professional Advisors</w:t>
      </w:r>
    </w:p>
    <w:p>
      <w:pPr>
        <w:spacing w:after="120"/>
      </w:pPr>
      <w:r>
        <w:rPr>
          <w:rFonts w:ascii="Arial" w:cs="Arial" w:eastAsia="Arial" w:hAnsi="Arial"/>
          <w:b w:val="false"/>
          <w:bCs w:val="false"/>
          <w:i w:val="false"/>
          <w:iCs w:val="false"/>
          <w:sz w:val="22"/>
          <w:szCs w:val="22"/>
        </w:rPr>
        <w:t xml:space="preserve">Bool flags for accountant/CPA, business attorney, insurance agent, and financial advisor. Tells mentors who else is in the picture so they can coordinate rather than duplicate advice. Free-text capture of other coaching/mentoring relationships and rich-text advisor notes are deferred per ACT-ISS-005 pending the structural decision around modeling advisors as a child entity.</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hasAccountantOrCpa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engages a CPA or accountant.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hasBusinessAttorney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has retained legal counsel.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hasInsuranceAgent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has a dedicated insurance agent or broker.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hasFinancialAdvisor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owner has a financial advisor for business or personal wealth management.</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3.6.14 Insurance and Compliance</w:t>
      </w:r>
    </w:p>
    <w:p>
      <w:pPr>
        <w:spacing w:after="120"/>
      </w:pPr>
      <w:r>
        <w:rPr>
          <w:rFonts w:ascii="Arial" w:cs="Arial" w:eastAsia="Arial" w:hAnsi="Arial"/>
          <w:b w:val="false"/>
          <w:bCs w:val="false"/>
          <w:i w:val="false"/>
          <w:iCs w:val="false"/>
          <w:sz w:val="22"/>
          <w:szCs w:val="22"/>
        </w:rPr>
        <w:t xml:space="preserve">General liability, professional liability, workers compensation, and cyber insurance coverage status, plus a free-text notes field for specialty coverage.</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generalLiabilityInsuranceActive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carries general liability insurance.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professionalLiabilityInsuranceActive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carries professional liability (errors and omissions) insurance.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workersCompCoverageStatus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(5): Active Through BWC; Active Through Self-Insurance; ...; Unknown</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Status of workers compensation coverage.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cyberInsuranceActive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business carries cyber liability insurance.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otherInsuranceNotes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Free-text capture of specialty coverage (product liability, D and O, E and O, commercial auto, business interruption, etc.).</w:t>
            </w:r>
          </w:p>
        </w:tc>
      </w:tr>
    </w:tbl>
    <w:p>
      <w:pPr>
        <w:spacing w:after="120"/>
      </w:pPr>
      <w:r>
        <w:rPr>
          <w:rFonts w:ascii="Arial" w:cs="Arial" w:eastAsia="Arial" w:hAnsi="Arial"/>
          <w:sz w:val="22"/>
        </w:rPr>
        <w:t xml:space="preserve"/>
      </w:r>
    </w:p>
    <w:p>
      <w:pPr>
        <w:pStyle w:val="Heading3"/>
        <w:spacing w:after="80" w:before="180"/>
      </w:pPr>
      <w:r>
        <w:rPr>
          <w:rFonts w:ascii="Arial" w:cs="Arial" w:eastAsia="Arial" w:hAnsi="Arial"/>
          <w:b/>
          <w:bCs/>
          <w:i w:val="false"/>
          <w:iCs w:val="false"/>
          <w:color w:val="2E75B6"/>
          <w:sz w:val="24"/>
          <w:szCs w:val="24"/>
        </w:rPr>
        <w:t xml:space="preserve">3.6.15 Mentoring Context</w:t>
      </w:r>
    </w:p>
    <w:p>
      <w:pPr>
        <w:spacing w:after="120"/>
      </w:pPr>
      <w:r>
        <w:rPr>
          <w:rFonts w:ascii="Arial" w:cs="Arial" w:eastAsia="Arial" w:hAnsi="Arial"/>
          <w:b w:val="false"/>
          <w:bCs w:val="false"/>
          <w:i w:val="false"/>
          <w:iCs w:val="false"/>
          <w:sz w:val="22"/>
          <w:szCs w:val="22"/>
        </w:rPr>
        <w:t xml:space="preserve">The soft context that makes the mentoring relationship effective. Top goals for the next twelve months, current top challenges, prior mentoring history, the SBA-canonical 17-value 'nature of assistance sought' multiEnum (Form 641 question 30), language preference, accessibility needs, and explicit willingness flags for future testimonials and events. This category alone provides the foundation for mentor matching.</w:t>
      </w:r>
    </w:p>
    <w:tbl>
      <w:tblPr>
        <w:tblStyle w:val="Table"/>
        <w:tblW w:type="dxa" w:w="9360"/>
        <w:tblBorders>
          <w:top w:val="single" w:sz="1" w:color="AAAAAA"/>
          <w:left w:val="single" w:sz="1" w:color="AAAAAA"/>
          <w:bottom w:val="single" w:sz="1" w:color="AAAAAA"/>
          <w:right w:val="single" w:sz="1" w:color="AAAAAA"/>
          <w:insideH w:val="single" w:sz="1" w:color="AAAAAA"/>
          <w:insideV w:val="single" w:sz="1" w:color="AAAAAA"/>
        </w:tblBorders>
      </w:tblPr>
      <w:tblGrid>
        <w:gridCol w:w="2200"/>
        <w:gridCol w:w="1100"/>
        <w:gridCol w:w="2400"/>
        <w:gridCol w:w="36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Type</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Values / Constraints</w:t>
            </w:r>
          </w:p>
        </w:tc>
        <w:tc>
          <w:tcPr>
            <w:tcW w:type="dxa" w:w="3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topBusinessGoalsNext12Months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What the owner most wants to achieve in the next year. Anchor for the mentoring relationship.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currentTopChallenges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What is keeping the owner up at night. Surfaces the highest-leverage mentoring topics.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priorMentoringReceived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owner has worked with a business mentor before.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priorMentoringSources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multiEnum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(9): SCORE; Small Business Development Center (SBDC); ...;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Where the owner has received business mentoring before.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priorBusinessTrainingNotes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Relevant prior education, certifications, or training programs (MBA, executive education, industry certifications).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natureOfAssistanceSought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multiEnum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(17): Start-up Assistance; Business Plan; ...; International Trade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The mentoring topics the client wants help with. Mirrors SBA Form 641 question 30. Drives mentor matching.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languagePreference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enum</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Options: English; Spanish; Other</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Language the client prefers for mentoring sessions.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accessibilityNeeds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text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Any accessibility accommodations the client needs to fully participate in mentoring sessions and events.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willingToProvideTestimonial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client has indicated willingness to provide a testimonial about CBM in the future.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willingToParticipateInCbmEvents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bool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Default: False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Whether the client has indicated willingness to attend or participate in CBM-hosted events.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20"/>
                <w:szCs w:val="20"/>
              </w:rPr>
              <w:t xml:space="preserve">businessProfileLastReviewed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date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20"/>
                <w:szCs w:val="20"/>
              </w:rPr>
              <w:t xml:space="preserve">Date the assigned mentor most recently reviewed and updated the Client Business Profile fields with the client. Supports a saved-view filter that surfaces records older than N months for periodic-review nudges. Many fields in this profile (currentlyHiring, currentlySeekingCapital, bookkeepingStatus, revenueTrend, and similar state fields) drift month over month; this field provides the freshness signal mentors and administrators need to keep the record current. Added in v1.11 to close F4 from the pre-Phase-8 review pass.</w:t>
            </w:r>
          </w:p>
        </w:tc>
      </w:tr>
    </w:tbl>
    <w:p>
      <w:pPr>
        <w:spacing w:after="120"/>
      </w:pPr>
      <w:r>
        <w:rPr>
          <w:rFonts w:ascii="Arial" w:cs="Arial" w:eastAsia="Arial" w:hAnsi="Arial"/>
          <w:sz w:val="22"/>
        </w:rPr>
        <w:t xml:space="preserve"/>
      </w:r>
    </w:p>
    <w:p>
      <w:r>
        <w:br w:type="page"/>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Account entity, compiled from all domains. Relationship implementation details (link names, labels) will be finalized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 ↔ Account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relationship + CON-DEC-001</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 CR, FU</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 → Engagement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MN-MATCH, MN-ENGAGE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 → Partnership Agreement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Partnership Agreement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CR-PARTNER-REQ-006</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 → Contribution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Contribution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FU-RECORD</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FU</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 → Client-Partner Association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Client-Partner Association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CR-PARTNER-DAT-007</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 → Partner Activity</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Activity</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 ↔ Workshop (Co-Sponsor)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CR-EVENTS-REQ-005</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 → Account (Parent)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 (self-ref)</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CR-PARTNER-REQ-009</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All (shared)</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Primary Contact on Contact-Account relationship:</w:t>
      </w:r>
      <w:r>
        <w:rPr>
          <w:rFonts w:ascii="Arial" w:cs="Arial" w:eastAsia="Arial" w:hAnsi="Arial"/>
          <w:b w:val="false"/>
          <w:bCs w:val="false"/>
          <w:i w:val="false"/>
          <w:iCs w:val="false"/>
          <w:sz w:val="22"/>
          <w:szCs w:val="22"/>
        </w:rPr>
        <w:t xml:space="preserve"> The Contact-to-Account relationship includes a primaryContact bool on the middle table (CON-DEC-001). This allows designating one Contact as the primary contact for each Account independently. A single Contact can be the primary contact for one Account but not for another. Implementation requires adding a custom column to the native Contact-Account relationship middle table.</w:t>
      </w:r>
    </w:p>
    <w:p>
      <w:pPr>
        <w:spacing w:after="120"/>
      </w:pPr>
      <w:r>
        <w:rPr>
          <w:rFonts w:ascii="Arial" w:cs="Arial" w:eastAsia="Arial" w:hAnsi="Arial"/>
          <w:b/>
          <w:bCs/>
          <w:i w:val="false"/>
          <w:iCs w:val="false"/>
          <w:sz w:val="22"/>
          <w:szCs w:val="22"/>
        </w:rPr>
        <w:t xml:space="preserve">Anticipated future relationships:</w:t>
      </w:r>
      <w:r>
        <w:rPr>
          <w:rFonts w:ascii="Arial" w:cs="Arial" w:eastAsia="Arial" w:hAnsi="Arial"/>
          <w:b w:val="false"/>
          <w:bCs w:val="false"/>
          <w:i w:val="false"/>
          <w:iCs w:val="false"/>
          <w:sz w:val="22"/>
          <w:szCs w:val="22"/>
        </w:rPr>
        <w:t xml:space="preserve"> Account → Fundraising Campaign (FU domain), Account → Event Registration (CR domain). These will be defined when their respective domain process documents are completed.</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Dynamic logic visibility rules control which fields and panels are visible based on the accountType discriminator. Because accountType is a multiEnum, rules use the “has” operator — an Account with accountType = [Partner, Donor/Sponsor] would see both Partner-specific and Donor/Sponsor-specific fields.</w:t>
      </w:r>
    </w:p>
    <w:p>
      <w:pPr>
        <w:pStyle w:val="Heading2"/>
        <w:spacing w:after="120" w:before="240"/>
      </w:pPr>
      <w:r>
        <w:rPr>
          <w:rFonts w:ascii="Arial" w:cs="Arial" w:eastAsia="Arial" w:hAnsi="Arial"/>
          <w:b/>
          <w:bCs/>
          <w:i w:val="false"/>
          <w:iCs w:val="false"/>
          <w:color w:val="1F3864"/>
          <w:sz w:val="28"/>
          <w:szCs w:val="28"/>
        </w:rPr>
        <w:t xml:space="preserve">5.1 Client (accountType has Client)</w:t>
      </w:r>
    </w:p>
    <w:p>
      <w:pPr>
        <w:spacing w:after="120"/>
      </w:pP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accountType has Client</w:t>
      </w:r>
    </w:p>
    <w:p>
      <w:pPr>
        <w:spacing w:after="120"/>
      </w:pPr>
      <w:r>
        <w:rPr>
          <w:rFonts w:ascii="Arial" w:cs="Arial" w:eastAsia="Arial" w:hAnsi="Arial"/>
          <w:b/>
          <w:bCs/>
          <w:i w:val="false"/>
          <w:iCs w:val="false"/>
          <w:sz w:val="22"/>
          <w:szCs w:val="22"/>
        </w:rPr>
        <w:t xml:space="preserve">Show all fields in Section 3.2:</w:t>
      </w:r>
      <w:r>
        <w:rPr>
          <w:rFonts w:ascii="Arial" w:cs="Arial" w:eastAsia="Arial" w:hAnsi="Arial"/>
          <w:b w:val="false"/>
          <w:bCs w:val="false"/>
          <w:i w:val="false"/>
          <w:iCs w:val="false"/>
          <w:sz w:val="22"/>
          <w:szCs w:val="22"/>
        </w:rPr>
        <w:t xml:space="preserve"> organizationType, businessStage, industrySector, industrySubsector, clientNotes</w:t>
      </w:r>
    </w:p>
    <w:p>
      <w:pPr>
        <w:pStyle w:val="Heading2"/>
        <w:spacing w:after="120" w:before="240"/>
      </w:pPr>
      <w:r>
        <w:rPr>
          <w:rFonts w:ascii="Arial" w:cs="Arial" w:eastAsia="Arial" w:hAnsi="Arial"/>
          <w:b/>
          <w:bCs/>
          <w:i w:val="false"/>
          <w:iCs w:val="false"/>
          <w:color w:val="1F3864"/>
          <w:sz w:val="28"/>
          <w:szCs w:val="28"/>
        </w:rPr>
        <w:t xml:space="preserve">5.2 Partner (accountType has Partner)</w:t>
      </w:r>
    </w:p>
    <w:p>
      <w:pPr>
        <w:spacing w:after="120"/>
      </w:pP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accountType has Partner</w:t>
      </w:r>
    </w:p>
    <w:p>
      <w:pPr>
        <w:spacing w:after="120"/>
      </w:pPr>
      <w:r>
        <w:rPr>
          <w:rFonts w:ascii="Arial" w:cs="Arial" w:eastAsia="Arial" w:hAnsi="Arial"/>
          <w:b/>
          <w:bCs/>
          <w:i w:val="false"/>
          <w:iCs w:val="false"/>
          <w:sz w:val="22"/>
          <w:szCs w:val="22"/>
        </w:rPr>
        <w:t xml:space="preserve">Show all fields in Section 3.3:</w:t>
      </w:r>
      <w:r>
        <w:rPr>
          <w:rFonts w:ascii="Arial" w:cs="Arial" w:eastAsia="Arial" w:hAnsi="Arial"/>
          <w:b w:val="false"/>
          <w:bCs w:val="false"/>
          <w:i w:val="false"/>
          <w:iCs w:val="false"/>
          <w:sz w:val="22"/>
          <w:szCs w:val="22"/>
        </w:rPr>
        <w:t xml:space="preserve"> partnerOrganizationType, partnerType, partnerStatus, partnershipStartDate, assignedLiaison, publicAnnouncementAllowed, geographicServiceArea, targetPopulation, partnerNotes</w:t>
      </w:r>
    </w:p>
    <w:p>
      <w:pPr>
        <w:pStyle w:val="Heading2"/>
        <w:spacing w:after="120" w:before="240"/>
      </w:pPr>
      <w:r>
        <w:rPr>
          <w:rFonts w:ascii="Arial" w:cs="Arial" w:eastAsia="Arial" w:hAnsi="Arial"/>
          <w:b/>
          <w:bCs/>
          <w:i w:val="false"/>
          <w:iCs w:val="false"/>
          <w:color w:val="1F3864"/>
          <w:sz w:val="28"/>
          <w:szCs w:val="28"/>
        </w:rPr>
        <w:t xml:space="preserve">5.3 Donor/Sponsor (accountType has Donor/Sponsor)</w:t>
      </w:r>
    </w:p>
    <w:p>
      <w:pPr>
        <w:spacing w:after="120"/>
      </w:pP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accountType has Donor/Sponsor</w:t>
      </w:r>
    </w:p>
    <w:p>
      <w:pPr>
        <w:spacing w:after="120"/>
      </w:pPr>
      <w:r>
        <w:rPr>
          <w:rFonts w:ascii="Arial" w:cs="Arial" w:eastAsia="Arial" w:hAnsi="Arial"/>
          <w:b/>
          <w:bCs/>
          <w:i w:val="false"/>
          <w:iCs w:val="false"/>
          <w:sz w:val="22"/>
          <w:szCs w:val="22"/>
        </w:rPr>
        <w:t xml:space="preserve">Show all fields in Section 3.4:</w:t>
      </w:r>
      <w:r>
        <w:rPr>
          <w:rFonts w:ascii="Arial" w:cs="Arial" w:eastAsia="Arial" w:hAnsi="Arial"/>
          <w:b w:val="false"/>
          <w:bCs w:val="false"/>
          <w:i w:val="false"/>
          <w:iCs w:val="false"/>
          <w:sz w:val="22"/>
          <w:szCs w:val="22"/>
        </w:rPr>
        <w:t xml:space="preserve"> funderType, funderStatus, funderLifetimeGiving, funderNotes, assignedSponsorCoordinator, lastContactDate, geographicServiceArea (also defined in Section 3.3)</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panel/tab grouping is a recommendation for the Account detail view. Final layout is determined during YAML generation. Dynamic logic hides entire panels when the relevant accountType is not present.</w:t>
      </w:r>
    </w:p>
    <w:p>
      <w:pPr>
        <w:spacing w:after="120"/>
      </w:pPr>
      <w:r>
        <w:rPr>
          <w:rFonts w:ascii="Arial" w:cs="Arial" w:eastAsia="Arial" w:hAnsi="Arial"/>
          <w:b/>
          <w:bCs/>
          <w:i w:val="false"/>
          <w:iCs w:val="false"/>
          <w:color w:val="1F3864"/>
          <w:sz w:val="22"/>
          <w:szCs w:val="22"/>
        </w:rPr>
        <w:t xml:space="preserve">Overview Panel (always visible)</w:t>
      </w:r>
    </w:p>
    <w:p>
      <w:pPr>
        <w:spacing w:after="120"/>
      </w:pPr>
      <w:r>
        <w:rPr>
          <w:rFonts w:ascii="Arial" w:cs="Arial" w:eastAsia="Arial" w:hAnsi="Arial"/>
          <w:b w:val="false"/>
          <w:bCs w:val="false"/>
          <w:i w:val="false"/>
          <w:iCs w:val="false"/>
          <w:sz w:val="22"/>
          <w:szCs w:val="22"/>
        </w:rPr>
        <w:t xml:space="preserve">Native identity fields: name, website, emailAddress, phoneNumber, billingAddress composite. Custom shared fields: accountType, parentOrganization, linkedInProfile. Native system fields: assignedUser.</w:t>
      </w:r>
    </w:p>
    <w:p>
      <w:pPr>
        <w:spacing w:after="120"/>
      </w:pPr>
      <w:r>
        <w:rPr>
          <w:rFonts w:ascii="Arial" w:cs="Arial" w:eastAsia="Arial" w:hAnsi="Arial"/>
          <w:b/>
          <w:bCs/>
          <w:i w:val="false"/>
          <w:iCs w:val="false"/>
          <w:color w:val="1F3864"/>
          <w:sz w:val="22"/>
          <w:szCs w:val="22"/>
        </w:rPr>
        <w:t xml:space="preserve">Client Profile Panel (accountType has Client)</w:t>
      </w:r>
    </w:p>
    <w:p>
      <w:pPr>
        <w:spacing w:after="120"/>
      </w:pPr>
      <w:r>
        <w:rPr>
          <w:rFonts w:ascii="Arial" w:cs="Arial" w:eastAsia="Arial" w:hAnsi="Arial"/>
          <w:b w:val="false"/>
          <w:bCs w:val="false"/>
          <w:i w:val="false"/>
          <w:iCs w:val="false"/>
          <w:sz w:val="22"/>
          <w:szCs w:val="22"/>
        </w:rPr>
        <w:t xml:space="preserve">organizationType, businessStage, industrySector, industrySubsector, clientNotes.</w:t>
      </w:r>
    </w:p>
    <w:p>
      <w:pPr>
        <w:spacing w:after="120"/>
      </w:pPr>
      <w:r>
        <w:rPr>
          <w:rFonts w:ascii="Arial" w:cs="Arial" w:eastAsia="Arial" w:hAnsi="Arial"/>
          <w:b/>
          <w:bCs/>
          <w:i w:val="false"/>
          <w:iCs w:val="false"/>
          <w:color w:val="1F3864"/>
          <w:sz w:val="22"/>
          <w:szCs w:val="22"/>
        </w:rPr>
        <w:t xml:space="preserve">Partner Classification Panel (accountType has Partner)</w:t>
      </w:r>
    </w:p>
    <w:p>
      <w:pPr>
        <w:spacing w:after="120"/>
      </w:pPr>
      <w:r>
        <w:rPr>
          <w:rFonts w:ascii="Arial" w:cs="Arial" w:eastAsia="Arial" w:hAnsi="Arial"/>
          <w:b w:val="false"/>
          <w:bCs w:val="false"/>
          <w:i w:val="false"/>
          <w:iCs w:val="false"/>
          <w:sz w:val="22"/>
          <w:szCs w:val="22"/>
        </w:rPr>
        <w:t xml:space="preserve">partnerOrganizationType, partnerType, partnerStatus, partnershipStartDate.</w:t>
      </w:r>
    </w:p>
    <w:p>
      <w:pPr>
        <w:spacing w:after="120"/>
      </w:pPr>
      <w:r>
        <w:rPr>
          <w:rFonts w:ascii="Arial" w:cs="Arial" w:eastAsia="Arial" w:hAnsi="Arial"/>
          <w:b/>
          <w:bCs/>
          <w:i w:val="false"/>
          <w:iCs w:val="false"/>
          <w:color w:val="1F3864"/>
          <w:sz w:val="22"/>
          <w:szCs w:val="22"/>
        </w:rPr>
        <w:t xml:space="preserve">Partner Relationship Panel (accountType has Partner)</w:t>
      </w:r>
    </w:p>
    <w:p>
      <w:pPr>
        <w:spacing w:after="120"/>
      </w:pPr>
      <w:r>
        <w:rPr>
          <w:rFonts w:ascii="Arial" w:cs="Arial" w:eastAsia="Arial" w:hAnsi="Arial"/>
          <w:b w:val="false"/>
          <w:bCs w:val="false"/>
          <w:i w:val="false"/>
          <w:iCs w:val="false"/>
          <w:sz w:val="22"/>
          <w:szCs w:val="22"/>
        </w:rPr>
        <w:t xml:space="preserve">assignedLiaison, publicAnnouncementAllowed, geographicServiceArea, targetPopulation, partnerNotes.</w:t>
      </w:r>
    </w:p>
    <w:p>
      <w:pPr>
        <w:spacing w:after="120"/>
      </w:pPr>
      <w:r>
        <w:rPr>
          <w:rFonts w:ascii="Arial" w:cs="Arial" w:eastAsia="Arial" w:hAnsi="Arial"/>
          <w:b/>
          <w:bCs/>
          <w:i w:val="false"/>
          <w:iCs w:val="false"/>
          <w:color w:val="1F3864"/>
          <w:sz w:val="22"/>
          <w:szCs w:val="22"/>
        </w:rPr>
        <w:t xml:space="preserve">Donor/Sponsor Profile Panel (accountType has Donor/Sponsor)</w:t>
      </w:r>
    </w:p>
    <w:p>
      <w:pPr>
        <w:spacing w:after="120"/>
      </w:pPr>
      <w:r>
        <w:rPr>
          <w:rFonts w:ascii="Arial" w:cs="Arial" w:eastAsia="Arial" w:hAnsi="Arial"/>
          <w:b w:val="false"/>
          <w:bCs w:val="false"/>
          <w:i w:val="false"/>
          <w:iCs w:val="false"/>
          <w:sz w:val="22"/>
          <w:szCs w:val="22"/>
        </w:rPr>
        <w:t xml:space="preserve">funderType, funderStatus, funderLifetimeGiving, funderNotes, assignedSponsorCoordinator, lastContactDate, geographicServiceArea.</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Calculated fields:</w:t>
      </w:r>
      <w:r>
        <w:rPr>
          <w:rFonts w:ascii="Arial" w:cs="Arial" w:eastAsia="Arial" w:hAnsi="Arial"/>
          <w:b w:val="false"/>
          <w:bCs w:val="false"/>
          <w:i w:val="false"/>
          <w:iCs w:val="false"/>
          <w:sz w:val="22"/>
          <w:szCs w:val="22"/>
        </w:rPr>
        <w:t xml:space="preserve"> funderLifetimeGiving is the sum of all linked Contribution records (Donations, Grants, Sponsorships) for this Account. It is system-calculated and read-only.</w:t>
      </w:r>
    </w:p>
    <w:p>
      <w:pPr>
        <w:spacing w:after="120"/>
      </w:pPr>
      <w:r>
        <w:rPr>
          <w:rFonts w:ascii="Arial" w:cs="Arial" w:eastAsia="Arial" w:hAnsi="Arial"/>
          <w:b/>
          <w:bCs/>
          <w:i w:val="false"/>
          <w:iCs w:val="false"/>
          <w:sz w:val="22"/>
          <w:szCs w:val="22"/>
        </w:rPr>
        <w:t xml:space="preserve">2. Field-level access control:</w:t>
      </w:r>
      <w:r>
        <w:rPr>
          <w:rFonts w:ascii="Arial" w:cs="Arial" w:eastAsia="Arial" w:hAnsi="Arial"/>
          <w:b w:val="false"/>
          <w:bCs w:val="false"/>
          <w:i w:val="false"/>
          <w:iCs w:val="false"/>
          <w:sz w:val="22"/>
          <w:szCs w:val="22"/>
        </w:rPr>
        <w:t xml:space="preserve"> clientNotes is restricted to Client Administrator and above. partnerNotes is restricted to Partner Coordinator and above. funderNotes is restricted to Donor/Sponsor Coordinator and above. All three notes fields are hidden from Mentors viewing Account records.</w:t>
      </w:r>
    </w:p>
    <w:p>
      <w:pPr>
        <w:spacing w:after="120"/>
      </w:pPr>
      <w:r>
        <w:rPr>
          <w:rFonts w:ascii="Arial" w:cs="Arial" w:eastAsia="Arial" w:hAnsi="Arial"/>
          <w:b/>
          <w:bCs/>
          <w:i w:val="false"/>
          <w:iCs w:val="false"/>
          <w:sz w:val="22"/>
          <w:szCs w:val="22"/>
        </w:rPr>
        <w:t xml:space="preserve">3. Audited fields:</w:t>
      </w:r>
      <w:r>
        <w:rPr>
          <w:rFonts w:ascii="Arial" w:cs="Arial" w:eastAsia="Arial" w:hAnsi="Arial"/>
          <w:b w:val="false"/>
          <w:bCs w:val="false"/>
          <w:i w:val="false"/>
          <w:iCs w:val="false"/>
          <w:sz w:val="22"/>
          <w:szCs w:val="22"/>
        </w:rPr>
        <w:t xml:space="preserve"> partnerStatus and funderStatus should be audited to maintain a complete transition history for compliance and reporting.</w:t>
      </w:r>
    </w:p>
    <w:p>
      <w:pPr>
        <w:spacing w:after="120"/>
      </w:pPr>
      <w:r>
        <w:rPr>
          <w:rFonts w:ascii="Arial" w:cs="Arial" w:eastAsia="Arial" w:hAnsi="Arial"/>
          <w:b/>
          <w:bCs/>
          <w:i w:val="false"/>
          <w:iCs w:val="false"/>
          <w:sz w:val="22"/>
          <w:szCs w:val="22"/>
        </w:rPr>
        <w:t xml:space="preserve">4. Primary Contact on relationship:</w:t>
      </w:r>
      <w:r>
        <w:rPr>
          <w:rFonts w:ascii="Arial" w:cs="Arial" w:eastAsia="Arial" w:hAnsi="Arial"/>
          <w:b w:val="false"/>
          <w:bCs w:val="false"/>
          <w:i w:val="false"/>
          <w:iCs w:val="false"/>
          <w:sz w:val="22"/>
          <w:szCs w:val="22"/>
        </w:rPr>
        <w:t xml:space="preserve"> The Contact-to-Account manyToMany relationship requires a primaryContact bool column on the middle table. This is not a field on the Account entity itself. Implementation requires adding a custom column to the native relationship’s middle table during YAML generation.</w:t>
      </w:r>
    </w:p>
    <w:p>
      <w:pPr>
        <w:spacing w:after="120"/>
      </w:pPr>
      <w:r>
        <w:rPr>
          <w:rFonts w:ascii="Arial" w:cs="Arial" w:eastAsia="Arial" w:hAnsi="Arial"/>
          <w:b/>
          <w:bCs/>
          <w:i w:val="false"/>
          <w:iCs w:val="false"/>
          <w:sz w:val="22"/>
          <w:szCs w:val="22"/>
        </w:rPr>
        <w:t xml:space="preserve">5. Parent-child hierarchy:</w:t>
      </w:r>
      <w:r>
        <w:rPr>
          <w:rFonts w:ascii="Arial" w:cs="Arial" w:eastAsia="Arial" w:hAnsi="Arial"/>
          <w:b w:val="false"/>
          <w:bCs w:val="false"/>
          <w:i w:val="false"/>
          <w:iCs w:val="false"/>
          <w:sz w:val="22"/>
          <w:szCs w:val="22"/>
        </w:rPr>
        <w:t xml:space="preserve"> The parentOrganization field creates a self-referencing Account-to-Account relationship. This is a shared field — any Account type can have a parent organization. The relationship supports organizational hierarchies (branches, chapters, subsidiaries, franchises) across all account types.</w:t>
      </w:r>
    </w:p>
    <w:p>
      <w:pPr>
        <w:spacing w:after="120"/>
      </w:pPr>
      <w:r>
        <w:rPr>
          <w:rFonts w:ascii="Arial" w:cs="Arial" w:eastAsia="Arial" w:hAnsi="Arial"/>
          <w:b/>
          <w:bCs/>
          <w:i w:val="false"/>
          <w:iCs w:val="false"/>
          <w:sz w:val="22"/>
          <w:szCs w:val="22"/>
        </w:rPr>
        <w:t xml:space="preserve">6. Dependent field filtering:</w:t>
      </w:r>
      <w:r>
        <w:rPr>
          <w:rFonts w:ascii="Arial" w:cs="Arial" w:eastAsia="Arial" w:hAnsi="Arial"/>
          <w:b w:val="false"/>
          <w:bCs w:val="false"/>
          <w:i w:val="false"/>
          <w:iCs w:val="false"/>
          <w:sz w:val="22"/>
          <w:szCs w:val="22"/>
        </w:rPr>
        <w:t xml:space="preserve"> industrySubsector is a dependent field filtered by industrySector. The filter configuration maps each of the 20 NAICS sectors to its applicable subsectors. This requires dynamic logic or custom view configuration during YAML generation.</w:t>
      </w:r>
    </w:p>
    <w:p>
      <w:pPr>
        <w:spacing w:after="120"/>
      </w:pPr>
      <w:r>
        <w:rPr>
          <w:rFonts w:ascii="Arial" w:cs="Arial" w:eastAsia="Arial" w:hAnsi="Arial"/>
          <w:b/>
          <w:bCs/>
          <w:i w:val="false"/>
          <w:iCs w:val="false"/>
          <w:sz w:val="22"/>
          <w:szCs w:val="22"/>
        </w:rPr>
        <w:t xml:space="preserve">7. Multi-type accounts:</w:t>
      </w:r>
      <w:r>
        <w:rPr>
          <w:rFonts w:ascii="Arial" w:cs="Arial" w:eastAsia="Arial" w:hAnsi="Arial"/>
          <w:b w:val="false"/>
          <w:bCs w:val="false"/>
          <w:i w:val="false"/>
          <w:iCs w:val="false"/>
          <w:sz w:val="22"/>
          <w:szCs w:val="22"/>
        </w:rPr>
        <w:t xml:space="preserve"> Because accountType is multiEnum, an Account with multiple types sees the union of all type-specific fields. The layout should group fields by type panel so the UI remains organized when multiple types are active.</w:t>
      </w:r>
    </w:p>
    <w:p>
      <w:pPr>
        <w:spacing w:after="120"/>
      </w:pPr>
      <w:r>
        <w:rPr>
          <w:rFonts w:ascii="Arial" w:cs="Arial" w:eastAsia="Arial" w:hAnsi="Arial"/>
          <w:b/>
          <w:bCs/>
          <w:i w:val="false"/>
          <w:iCs w:val="false"/>
          <w:sz w:val="22"/>
          <w:szCs w:val="22"/>
        </w:rPr>
        <w:t xml:space="preserve">8.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r>
        <w:br w:type="page"/>
      </w:r>
    </w:p>
    <w:p>
      <w:pPr>
        <w:spacing w:after="120"/>
      </w:pPr>
      <w:r>
        <w:t xml:space="preserve">Native website field as Account matching signal. The native website field on Account is the primary signal for prospect-Contact-to-Account matching under the Universal Contact-Creation Rules formalized in the CR-MARKETING Sub-Domain Overview v1.1. When a Contact is created via any CR-MARKETING pathway (web inquiry form, list import, single-record creation) with a website value, the system normalizes the domain (lowercase, protocol stripped, leading www stripped) and looks for an existing Account with a matching normalized website. The website domain is the only signal trusted for automatic linking in the Account precedence ladder. Name-based matching is not performed during creation, because two unrelated firms can legitimately share a name and the system cannot distinguish them without the website signal — automatically linking a Contact to the wrong company is a confidentiality and data-integrity risk that outweighs the cleanup cost of occasional duplicate Accounts. The Client Recruiter handles any duplicate Accounts via routine data hygiene. No new website-related field is added; the existing native field carries this responsibility.</w:t>
      </w:r>
    </w:p>
    <w:p>
      <w:pPr>
        <w:pStyle w:val="Heading1"/>
        <w:spacing w:after="120" w:before="360"/>
      </w:pPr>
      <w:r>
        <w:rPr>
          <w:rFonts w:ascii="Arial" w:cs="Arial" w:eastAsia="Arial" w:hAnsi="Arial"/>
          <w:b/>
          <w:bCs/>
          <w:i w:val="false"/>
          <w:iCs w:val="false"/>
          <w:color w:val="1F3864"/>
          <w:sz w:val="32"/>
          <w:szCs w:val="32"/>
        </w:rP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ACT-ISS-001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CLOSED (v1.2): Resolved by the clientStatus field added to Section 3.2 (Client-Specific Fields) by the CR-MARKETING Sub-Domain Overview v1.0. The Account-level client lifecycle is now tracked via clientStatus, paired with Contact.prospectStatus on the Contact entity for the marketing-funnel state of individual people. The two fields answer different questions and cannot drift because they measure different things.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ACT-ISS-002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hAnsi="Arial"/>
              </w:rPr>
              <w:t>CLOSED (v1.8): The CR domain process definition is complete and CR Domain PRD v1.2 awaits Stakeholder Review. The FU domain Phase 4b process definition is complete; the two FU-contributed Account fields surfaced by FU-PROSPECT (assignedSponsorCoordinator, FU-PROSPECT-DAT-027) and FU-STEWARD (lastContactDate, FU-STEWARD-DAT-020) are now integrated into Section 3.4 by this v1.8 update, alongside the geographicServiceArea restructure already applied at v1.7. The ACT-DEC-013 and ACT-DEC-014 entries document the FU-domain field integration.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ACT-ISS-003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NAICS Industry Subsector values: the complete list of ~100 subsectors filtered by Industry Sector has not been defined. Must align with the NAICS classification system. Carried forward from MN-INTAKE-ISS-002.</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ACT-ISS-004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t>CLOSED by FU-REPORT process definition session, 04-30-26. The field is restructured from free text to a structured multi-value zip code list, used for both Partner service areas and Donor/Sponsor funding territories. Master list of Northeast Ohio zip codes to be defined during implementation. CR-MARKETING-ISS-001 remains open in CR-MARKETING scope to the extent it covers questions beyond field format (campaign targeting model, master list maintenance ownership).</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ACT-ISS-005</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t>personalCreditScoreRange field deferred from v1.10 Client Business Profile (Section 3.6). The attribute describes the personal credit score of the business owner, not the business itself. It will be relocated to the Contact entity in a future narrow Entity PRD update (Contact Entity PRD v1.7 to v1.8). v1.10 also defers six other candidate fields for reasons documented in ACT-DEC-016: mostRecentFullYearRevenue (exact dollar sensitive — annualRevenueRange bracketed field captures the mentoring need); totalCapitalRaisedToDate, fundingSourcesUsedToDate, capitalSoughtAmount (structural decision pending around modeling funding events as a child entity); otherCoachOrMentorRelationships and advisorNotes (structural decision pending around modeling professional advisors as a child entity). Each deferral has a path back: the funding-history and advisor exclusions resurface when the respective structural questions are answered; personalCreditScoreRange moves to Contact in a separate effort; mostRecentFullYearRevenue can be added in a minor revision if exact-dollar tracking becomes important.</w:t>
            </w:r>
          </w:p>
        </w:tc>
      </w:tr>
    </w:tbl>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Primary Contact is a bool on the Contact-to-Account manyToMany relationship middle table, not a field on either entity. A single Contact can be the primary contact for one Account but not for another. Cross-referenced from Contact Entity PRD CON-DEC-001.</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assignedLiaison is a separate custom Partner-specific link field to Contact, not a reuse of the native assignedUser field. This allows dual-type accounts (e.g., Client + Partner) to have different staff assignments for different roles, and provides a clear UI label for partner relationship management.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parentOrganization is a shared field available to all account types, not Partner-specific. Organizational hierarchies (branches, chapters, subsidiaries, franchises) are a universal concept applicable across Client, Partner, and Donor/Sponsor organizations.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linkedInProfile is a shared url field on Account, mirroring the Contact entity pattern. The free-text socialMedia field from the CR domain is dropped in favor of a structured URL field.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Type-specific wysiwyg notes fields (clientNotes, partnerNotes, funderNotes) are used instead of the native description field for notes requiring rich text formatting. Each notes field has field-level security restricting access to the appropriate domain coordinator role. The native description field (plain text) remains available but is not the primary notes mechanism.</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primaryFunderContact (link from Account to Contact for fundraising communications) is dropped. The Primary Contact designation on the Contact-to-Account relationship (ACT-DEC-001) provides a single, unified primary contact mechanism for all account types.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ACT-DEC-007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accountType uses the value Donor/Sponsor (matching the Entity Inventory and Master PRD) rather than Funder (used in the legacy FU Domain PRD). All three terms are treated as synonymous.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ACT-DEC-008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lifecycle field deferred to CR domain process definition (ACT-ISS-001). The MN domain manages lifecycle at the Engagement level. Whether a client-level account status is needed depends on CR domain requirements.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ACT-DEC-009</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clientStatus is the Account-level client-relationship lifecycle field, paired with Contact.prospectStatus on the Contact entity. The two fields answer different questions and cannot drift because they measure different things. clientStatus tracks the company's relationship with CBM; prospectStatus tracks an individual's marketing engagement. Multiple Contacts at the same Account share a single clientStatus without ambiguity. Source: CR-MARKETING Sub-Domain Overview v1.0.</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ACT-DEC-010</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clientStatus is set to Prospect at Account creation when an Account is first created via a CR-MARKETING pathway with company information provided. It transitions to Applicant at MN-INTAKE when a linked Contact submits an application, or a new Account is created at Applicant if none existed (using existing pre-startup naming logic from MN-INTAKE-REQ-008). Source: CR-MARKETING Sub-Domain Overview v1.0.</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ACT-DEC-011</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The native website field is the only signal trusted for automatic linking in the Account precedence ladder under the Universal Contact-Creation Rules. The ladder is two-step: (1) website domain match (normalized: lowercase, protocol stripped, leading www stripped), (2) manual or new — the system creates a new Account when no website match exists, with no name-based or fuzzy-match suggestions. Name-based linking is not performed because two unrelated firms can share a name; the Client Recruiter handles any duplicate Accounts via routine data hygiene. The native field is reused; no new website-related field is added. Source: CR-MARKETING Sub-Domain Overview v1.1.</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t>ACT-DEC-012</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Version 1.6: industrySector enum values explicitly enumerated with 20 standard NAICS two-digit sector titles per MR-Y9-EXC-001. Replaces the prior count-only reference. This field is an enum (single-select) on Account; the corresponding Contact.industrySectors is a multiEnum (multi-select). Values adopted from the archived legacy YAML and confirmed during the MR Phase 9 YAML Generation conversation.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t>ACT-DEC-013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t>Version 1.7: geographicServiceArea field restructured from text to multiEnum (structured zip code list). Visibility expanded from accountType has Partner only to accountType has Partner OR accountType has Donor/Sponsor. The field now supports both Partner service areas and Donor/Sponsor funding territories, queryable for set-membership against Contact addressPostalCode for territory-based attribution reporting. Section 5.3 dynamic logic and Section 6 Donor/Sponsor Profile Panel updated to show the field. ACT-ISS-004 closed. Source: FU-REPORT process definition session, 04-30-26. Carry-forward request at PRDs/FU/carry-forward/SESSION-PROMPT-carry-forward-account-territory-zipcode-list.md.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hAnsi="Arial"/>
              </w:rPr>
              <w:t>ACT-DEC-014</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hAnsi="Arial"/>
              </w:rPr>
              <w:t>Version 1.8: Two Donor/Sponsor-specific fields added to Section 3.4: assignedSponsorCoordinator (FU-PROSPECT-DAT-027) and lastContactDate (FU-STEWARD-DAT-020). assignedSponsorCoordinator is a link to Contact, conditionally required when funderStatus = Active, analogous to assignedLiaison on Partner Accounts; only the current value is stored, with assignment history living in the activity stream. lastContactDate is manually set during the FU-STEWARD sweep with no auto-population, read by the Active Donors and Funders Sweep List as the primary sort field. Section 5.3 dynamic logic and Section 6 Donor/Sponsor Profile Panel updated. ACT-ISS-002 closed. Source: bundled end-of-FU-Phase-4b carry-forward request at PRDs/FU/carry-forward/SESSION-PROMPT-carry-forward-end-of-fu-phase-4b-bundled-entity-prd-updates.md.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hAnsi="Arial"/>
              </w:rPr>
              <w:t>ACT-DEC-015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hAnsi="Arial"/>
              </w:rPr>
              <w:t>Version 1.9: The Mentoring-Domain Client field previously named applicantSince is renamed to applicantSinceTimestamp to reflect that the field is a datetime and to align with all downstream artifacts that already use the longer name (MN-INTAKE v2.5, MN-Engagement YAML 1.0.1, MN/CR MANUAL-CONFIG entries, CR-Account YAML, Mentoring Domain PRD v1.1). Field type, ID (CR-EVENTS-CONVERT-DAT-025), required-status, default, semantics, source documents, and domain attribution are unchanged. Source: documented technical debt flagged in Mentoring Domain PRD v1.1 Change Log entry 05-05-26.</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hAnsi="Arial"/>
              </w:rPr>
              <w:t>ACT-DEC-016</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hAnsi="Arial"/>
              </w:rPr>
              <w:t>Version 1.10: New Section 3.6 Client Business Profile adds 81 custom fields to the Account entity across 15 functional categories (Identity and Legal Foundation, Ownership and Control, Certifications, Industry Classification, Financials, Workforce, Customers and Markets, Sales and Marketing, Operations, Financial Infrastructure, Funding and Capital, Technology, Professional Advisors, Insurance and Compliance, Mentoring Context). All 81 fields are scoped to visibleWhen accountType contains Client and are MN-domain owned. The field set is implemented in companion YAML programs/MN/MN-Account-business-profile.yaml v1.0.0, sibling to the existing programs/MN/MN-Account.yaml which retains its five foundational fields unchanged. Capture rationale: comprehensive business-profile capture so any assigned mentor can review a Client record without re-asking foundational questions session over session. The 88-field source inventory was reviewed against four selection criteria: structural fit, sensitivity, dependency status, and mentoring leverage. Seven candidate fields were deferred per ACT-ISS-005. Three categories (Certifications, Funding, Professional Advisors) carry a structural-decision flag — v1.10 commits to flat fields as the first-pass choice; restructure to child entities is flagged as a candidate for a future major revision if per-record tracking of issue dates, expiration dates, amounts, or contact details becomes important. Source: 05-18-26 research session synthesizing SBA Form 641 (federal counseling intake standard used by SCORE, SBDC, Women's Business Centers), SBA federal certification programs (8(a), WOSB/EDWOSB, VOSB/SDVOSB, HUBZone, SDB, DBE), Ohio Department of Administrative Services certifications (MBE, WBE, EDGE, VFBE), Cuyahoga County certifications, and small-business mentoring intake practices, captured in inventory file business-profile-field-inventory.yaml v0.1.0. Gate 1 scope approved by Doug 05-18-26.</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hAnsi="Arial"/>
              </w:rPr>
              <w:t>ACT-DEC-017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hAnsi="Arial"/>
              </w:rPr>
              <w:t>Version 1.11: Three follow-on corrections from the pre-Phase-8 review pass executed 05-18-26 07:00 (F1+F3+F4 bundle). (1) F1: corrected typo in the source-of-record inventory file PRDs/entities/business-profile-field-inventory.yaml — field name nature_of_assistance_sought renamed to natureOfAssistanceSought to align with the YAML schema v1.2.4 lowerCamelCase rule. The YAML and PRD already used the correct name; the inventory typo is now corrected so the source-of-record matches its descendants. Inventory bumped v0.1.0 to v0.2.0. (2) F3: appended a clarifying note to the descriptions of the three percent-owned fields (percentOwnedByWomen, percentOwnedByMinority, percentOwnedByVeterans) in Section 3.6.2 stating that the percentages are independent measurements and may sum to more than 100 percent for owners belonging to multiple groups (for example, a veteran-owned women-owned business). Matches federal certification rules where each is a separate eligibility threshold; the note prevents misreading the three fields as components of a single 100-percent total. (3) F4: added a new field businessProfileLastReviewed (date) to Section 3.6.15 Mentoring Context to provide the freshness signal needed to keep state fields current (currentlyHiring, currentlySeekingCapital, bookkeepingStatus, revenueTrend, and similar fields drift month over month). A saved-view filter on this date will surface Client records older than N months for periodic-review nudges to assigned mentors. YAML content_version bumped 1.0.0 to 1.1.0. Field count rises 81 to 82. Items F2, F5, F6, F7 from the same review pass remain as discussion items for future revisions: F2 (legalEntityType vs organizationType overlap), F5 (per-cert metadata limitation reminder), F6 (UX preview against test EspoCRM before Phase 9), F7 (brand-name precedent confirmation).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Account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Account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2026-04-02T05:05:46.633Z</dcterms:created>
  <dcterms:modified xsi:type="dcterms:W3CDTF">2026-04-02T05:05:46.633Z</dcterms:modified>
</cp:coreProperties>
</file>

<file path=docProps/custom.xml><?xml version="1.0" encoding="utf-8"?>
<Properties xmlns="http://schemas.openxmlformats.org/officeDocument/2006/custom-properties" xmlns:vt="http://schemas.openxmlformats.org/officeDocument/2006/docPropsVTypes"/>
</file>