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Client Intake (MN-INTAKE)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03-30-26 22:00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Extracted from CBM-Domain-PRD-Mentoring.md v1.0</w:t>
            </w:r>
          </w:p>
        </w:tc>
      </w:tr>
    </w:tbl>
    <w:p>
      <w:r>
        <w:br w:type="page"/>
      </w:r>
    </w:p>
    <w:p>
      <w:pPr>
        <w:pStyle w:val="Heading1"/>
        <w:spacing w:before="360" w:after="120"/>
      </w:pPr>
      <w:r>
        <w:rPr>
          <w:rFonts w:ascii="Arial" w:cs="Arial" w:eastAsia="Arial" w:hAnsi="Arial"/>
          <w:b/>
          <w:bCs/>
          <w:i w:val="false"/>
          <w:iCs w:val="false"/>
          <w:sz w:val="32"/>
          <w:szCs w:val="32"/>
        </w:rPr>
        <w:t xml:space="preserve">1. Process Purpose and Trigger</w:t>
      </w:r>
    </w:p>
    <w:p>
      <w:pPr>
        <w:spacing w:after="120"/>
      </w:pPr>
      <w:r>
        <w:rPr>
          <w:rFonts w:ascii="Arial" w:cs="Arial" w:eastAsia="Arial" w:hAnsi="Arial"/>
          <w:b w:val="false"/>
          <w:bCs w:val="false"/>
          <w:i w:val="false"/>
          <w:iCs w:val="false"/>
          <w:sz w:val="22"/>
          <w:szCs w:val="22"/>
        </w:rPr>
        <w:t xml:space="preserve">The Client Intake process begins when a prospective client submits a mentoring request through the CBM public website. Its purpose is to capture the information needed to assess eligibility and identify an appropriate mentor, and to route the application to the Client Administrator for review.</w:t>
      </w:r>
    </w:p>
    <w:p>
      <w:pPr>
        <w:spacing w:after="120"/>
      </w:pPr>
      <w:r>
        <w:rPr>
          <w:rFonts w:ascii="Arial" w:cs="Arial" w:eastAsia="Arial" w:hAnsi="Arial"/>
          <w:b w:val="false"/>
          <w:bCs w:val="false"/>
          <w:i w:val="false"/>
          <w:iCs w:val="false"/>
          <w:sz w:val="22"/>
          <w:szCs w:val="22"/>
        </w:rPr>
        <w:t xml:space="preserve">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pPr>
      <w:r>
        <w:rPr>
          <w:rFonts w:ascii="Arial" w:cs="Arial" w:eastAsia="Arial" w:hAnsi="Arial"/>
          <w:b/>
          <w:bCs/>
          <w:i w:val="false"/>
          <w:iCs w:val="false"/>
          <w:sz w:val="32"/>
          <w:szCs w:val="32"/>
        </w:rPr>
        <w:t xml:space="preserve">2. Personas Involved</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Submits the mentoring request through the public website. Provides business information, contact details, and a description of mentoring needs.</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Reviews submitted applications for completeness and basic eligibility. Approves or declines applications and communicates decisions to applicants directly.</w:t>
      </w:r>
    </w:p>
    <w:p>
      <w:pPr>
        <w:pStyle w:val="Heading1"/>
        <w:spacing w:before="360" w:after="120"/>
      </w:pPr>
      <w:r>
        <w:rPr>
          <w:rFonts w:ascii="Arial" w:cs="Arial" w:eastAsia="Arial" w:hAnsi="Arial"/>
          <w:b/>
          <w:bCs/>
          <w:i w:val="false"/>
          <w:iCs w:val="false"/>
          <w:sz w:val="32"/>
          <w:szCs w:val="32"/>
        </w:rPr>
        <w:t xml:space="preserve">3.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prospective client completes and submits the Phase 1 Mentoring Request form on the CBM public website.</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automatically creates three linked records: a Client Organization record (the business), a Client Contact record (the submitting individual, flagged as Primary Contact), and an Engagement record with status Submitted.</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Administrator receives an automatic notification of the new submission.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Administrator reviews the submission for completeness and basic eligibility against CBM’s program criteria.</w:t>
      </w:r>
    </w:p>
    <w:p>
      <w:pPr>
        <w:pStyle w:val="ListParagraph"/>
        <w:numPr>
          <w:ilvl w:val="0"/>
          <w:numId w:val="2"/>
        </w:numPr>
        <w:spacing w:after="80"/>
      </w:pPr>
      <w:r>
        <w:rPr>
          <w:rFonts w:ascii="Arial" w:cs="Arial" w:eastAsia="Arial" w:hAnsi="Arial"/>
          <w:b w:val="false"/>
          <w:bCs w:val="false"/>
          <w:i w:val="false"/>
          <w:iCs w:val="false"/>
          <w:sz w:val="22"/>
          <w:szCs w:val="22"/>
        </w:rPr>
        <w:t xml:space="preserve">If eligible, the application proceeds to the Mentor Matching process (MN-MATCH).</w:t>
      </w:r>
    </w:p>
    <w:p>
      <w:pPr>
        <w:pStyle w:val="ListParagraph"/>
        <w:numPr>
          <w:ilvl w:val="0"/>
          <w:numId w:val="2"/>
        </w:numPr>
        <w:spacing w:after="80"/>
      </w:pPr>
      <w:r>
        <w:rPr>
          <w:rFonts w:ascii="Arial" w:cs="Arial" w:eastAsia="Arial" w:hAnsi="Arial"/>
          <w:b w:val="false"/>
          <w:bCs w:val="false"/>
          <w:i w:val="false"/>
          <w:iCs w:val="false"/>
          <w:sz w:val="22"/>
          <w:szCs w:val="22"/>
        </w:rPr>
        <w:t xml:space="preserve">If not eligible, the Client Administrator updates the Engagement status to Declined, records the reason, and notifies the applicant directly. No automated notification is sent. The Client Organization and Contact records are retained permanently.</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iCs/>
          <w:sz w:val="22"/>
          <w:szCs w:val="22"/>
        </w:rPr>
        <w:t xml:space="preserve">A structured eligibility screening workflow may be defined by CBM leadership in a future revision. The current process assumes a basic administrative review.</w:t>
      </w:r>
    </w:p>
    <w:p>
      <w:pPr>
        <w:spacing w:before="200" w:after="6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before="360" w:after="120"/>
      </w:pPr>
      <w:r>
        <w:rPr>
          <w:rFonts w:ascii="Arial" w:cs="Arial" w:eastAsia="Arial" w:hAnsi="Arial"/>
          <w:b/>
          <w:bCs/>
          <w:i w:val="false"/>
          <w:iCs w:val="false"/>
          <w:sz w:val="32"/>
          <w:szCs w:val="32"/>
        </w:rPr>
        <w:t xml:space="preserve">4.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accept client mentoring requests submitted through the public website and create linked Client Organization, Client Contact, and Engagement records automatically.</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MN-INTAKE-REQ-002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submitting individual must be automatically flagged as the Primary Contact on the new Client Organization record.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notify the Client Administrator immediately upon receipt of a new submission.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MN-INTAKE-REQ-004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New submissions must appear in a dedicated Submitted Applications view accessible to the Client Administrator.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recording of a decline reason when an application is rejected.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MN-INTAKE-REQ-006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Organization and Contact records must be retained permanently regardless of Engagement outcome.</w:t>
            </w:r>
          </w:p>
        </w:tc>
      </w:tr>
    </w:tbl>
    <w:p>
      <w:pPr>
        <w:pStyle w:val="Heading1"/>
        <w:spacing w:before="360" w:after="120"/>
      </w:pPr>
      <w:r>
        <w:rPr>
          <w:rFonts w:ascii="Arial" w:cs="Arial" w:eastAsia="Arial" w:hAnsi="Arial"/>
          <w:b/>
          <w:bCs/>
          <w:i w:val="false"/>
          <w:iCs w:val="false"/>
          <w:sz w:val="32"/>
          <w:szCs w:val="32"/>
        </w:rPr>
        <w:t xml:space="preserve">5. Process Data</w:t>
      </w:r>
    </w:p>
    <w:p>
      <w:pPr>
        <w:spacing w:after="120"/>
      </w:pPr>
      <w:r>
        <w:rPr>
          <w:rFonts w:ascii="Arial" w:cs="Arial" w:eastAsia="Arial" w:hAnsi="Arial"/>
          <w:b w:val="false"/>
          <w:bCs w:val="false"/>
          <w:i w:val="false"/>
          <w:iCs w:val="false"/>
          <w:sz w:val="22"/>
          <w:szCs w:val="22"/>
        </w:rPr>
        <w:t xml:space="preserve">The Client Intake process does not require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pPr>
      <w:r>
        <w:rPr>
          <w:rFonts w:ascii="Arial" w:cs="Arial" w:eastAsia="Arial" w:hAnsi="Arial"/>
          <w:b/>
          <w:bCs/>
          <w:i w:val="false"/>
          <w:iCs w:val="false"/>
          <w:sz w:val="32"/>
          <w:szCs w:val="32"/>
        </w:rPr>
        <w:t xml:space="preserve">6. Data Collected</w:t>
      </w:r>
    </w:p>
    <w:p>
      <w:pPr>
        <w:spacing w:after="120"/>
      </w:pPr>
      <w:r>
        <w:rPr>
          <w:rFonts w:ascii="Arial" w:cs="Arial" w:eastAsia="Arial" w:hAnsi="Arial"/>
          <w:b w:val="false"/>
          <w:bCs w:val="false"/>
          <w:i w:val="false"/>
          <w:iCs w:val="false"/>
          <w:sz w:val="22"/>
          <w:szCs w:val="22"/>
        </w:rPr>
        <w:t xml:space="preserve">The following records and fields are created when the intake form is submitted. Fields are collected in Phase 1 (public intake form). Phase 2 fields collected later by the mentor are defined in the Engagement Management process (MN-ENGAGE).</w:t>
      </w:r>
    </w:p>
    <w:p>
      <w:pPr>
        <w:pStyle w:val="Heading2"/>
        <w:spacing w:before="240" w:after="12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Optional because pre-startup applicants may not yet have a business 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if one exists.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(street, city, state, zip). Used for geographic reporting and service area tracking.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Organization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Dropdown</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Stage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Dropdown</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 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Dropdown</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of the client business based on the North American Industry Classification System. Used for mentor matching and impact reporting. Drives the Industry Subsector filter.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Subsector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Dropdown</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Provides more precise industry classification for matching and reporting.</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middle 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and engagement materials when provided.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for all CBM communications including mentor introduction, meeting requests, and satisfaction surveys.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Zip Code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zip code. Used for geographic service area reporting and outreach targeting.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LinkedIn Profile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the mentor with professional background context.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Contact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Yes/No</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this contact as the primary point of contact for the client organization. Defaults to Yes for the first contact created. Automated communications default to the primary contact when no specific engagement contacts are designated.</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Dropdown</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Multi-select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MN-ISS-001</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for this engagement. Primary matching criterion between clients and mentors. Values must align with the corresponding field on the Mentor profile.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Rich 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in this mentoring engagement. Reviewed by the Client Assignment Coordinator during mentor matching.</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Client Intake (MN-INTAKE)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3864"/>
      <w:sz w:val="28"/>
      <w:szCs w:val="28"/>
    </w:rPr>
  </w:style>
  <w:style w:type="paragraph" w:styleId="Heading3">
    <w:name w:val="Heading 3"/>
    <w:basedOn w:val="Normal"/>
    <w:next w:val="Normal"/>
    <w:qFormat/>
    <w:pPr>
      <w:spacing w:before="200" w:after="1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2026-03-30T19:26:17.481Z</dcterms:created>
  <dcterms:modified xsi:type="dcterms:W3CDTF">2026-03-30T19:26:17.481Z</dcterms:modified>
</cp:coreProperties>
</file>

<file path=docProps/custom.xml><?xml version="1.0" encoding="utf-8"?>
<Properties xmlns="http://schemas.openxmlformats.org/officeDocument/2006/custom-properties" xmlns:vt="http://schemas.openxmlformats.org/officeDocument/2006/docPropsVTypes"/>
</file>