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Contact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 (Native — Person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 (CBM)</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04-05-26 22:15</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v2.0, Entity Inventory v1.0, MN Domain PRD v1.0, MR Domain PRD v1.0 (legacy), CR Domain PRD v1.0 (legacy, summary), FU Domain PRD v1.0 (legacy, summary)</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Person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 Mentor Recruitment (MR), Client Recruiting (CR), Fundraising (FU)</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Discriminator Field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contactType (multiEnum)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Discriminator Values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Contact entity is the single repository for all individual people known to Cleveland Business Mentors. It is the most complex entity in the implementation, spanning all four business domains with type-specific fields controlled by dynamic logic visibility rules based on the contactType discriminator.</w:t>
      </w:r>
    </w:p>
    <w:p>
      <w:pPr>
        <w:spacing w:after="120"/>
      </w:pPr>
      <w:r>
        <w:rPr>
          <w:rFonts w:ascii="Arial" w:cs="Arial" w:eastAsia="Arial" w:hAnsi="Arial"/>
          <w:b w:val="false"/>
          <w:bCs w:val="false"/>
          <w:i w:val="false"/>
          <w:iCs w:val="false"/>
          <w:sz w:val="22"/>
          <w:szCs w:val="22"/>
        </w:rPr>
        <w:t xml:space="preserve">A single Contact can hold multiple types simultaneously. A volunteer mentor who also presents at workshops and serves on the board would have contactType values of Mentor, Presenter, and Administrator. Dynamic logic uses the "contactType has [value]" condition to show or hide type-specific fields, meaning a Contact with multiple types sees the union of all relevant fields.</w:t>
      </w:r>
    </w:p>
    <w:p>
      <w:pPr>
        <w:spacing w:after="120"/>
      </w:pPr>
      <w:r>
        <w:rPr>
          <w:rFonts w:ascii="Arial" w:cs="Arial" w:eastAsia="Arial" w:hAnsi="Arial"/>
          <w:b w:val="false"/>
          <w:bCs w:val="false"/>
          <w:i w:val="false"/>
          <w:iCs w:val="false"/>
          <w:sz w:val="22"/>
          <w:szCs w:val="22"/>
        </w:rPr>
        <w:t xml:space="preserve">Prospect is a lifecycle state, not a contactType value. A mentor prospect is a Contact with contactType = Mentor at Mentor Status = Prospect. Client prospects have not yet entered the system through the intake process.</w:t>
      </w:r>
    </w:p>
    <w:p>
      <w:pPr>
        <w:spacing w:after="120"/>
      </w:pPr>
      <w:r>
        <w:rPr>
          <w:rFonts w:ascii="Arial" w:cs="Arial" w:eastAsia="Arial" w:hAnsi="Arial"/>
          <w:b/>
          <w:bCs/>
          <w:i w:val="false"/>
          <w:iCs w:val="false"/>
          <w:sz w:val="22"/>
          <w:szCs w:val="22"/>
        </w:rPr>
        <w:t xml:space="preserve">Domain coverage: </w:t>
      </w:r>
      <w:r>
        <w:rPr>
          <w:rFonts w:ascii="Arial" w:cs="Arial" w:eastAsia="Arial" w:hAnsi="Arial"/>
          <w:b w:val="false"/>
          <w:bCs w:val="false"/>
          <w:i w:val="false"/>
          <w:iCs w:val="false"/>
          <w:sz w:val="22"/>
          <w:szCs w:val="22"/>
        </w:rPr>
        <w:t xml:space="preserve">The Mentoring (MN) domain has complete field-level detail from the reconciled Domain PRD v1.0 and five process documents. The Mentor Recruitment (MR) domain has detailed field definitions from the legacy Domain PRD v1.0. The Client Recruiting (CR) and Fundraising (FU) domains have summary-level data from the Master PRD only. This Entity PRD will require updates when CR and FU domain process documents are completed.</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Contact entity because of its Person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firstName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First Name (MN-INTAKE-DAT-008)</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MN-INACTIVE, MN-CLOSE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lastName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Last Name (MN-INTAKE-DAT-009)</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MN-INACTIVE, MN-CLOSE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middleName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Middle Name (MN-INTAKE-DAT-010)</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salutationName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Salutation (Mr., Mrs., Ms., Dr.)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referenced in PRDs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title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Professional Title (MR domain)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 shared across all types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emailAddress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(multi)</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 (MN-INTAKE-DAT-012)</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 MN-CLOSE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phoneNumber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 (multi)</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Phone (MN-INTAKE-DAT-013)</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MN-ENGAGE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addressStreet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street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addressCity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city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addressState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state portion</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addressCountry</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Address composite — country portion</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 (partial: zip code 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addressPostalCode</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Zip Code (MN-INTAKE-DAT-014)</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General description/notes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referenced in PRDs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emailAddress: </w:t>
      </w:r>
      <w:r>
        <w:rPr>
          <w:rFonts w:ascii="Arial" w:cs="Arial" w:eastAsia="Arial" w:hAnsi="Arial"/>
          <w:b w:val="false"/>
          <w:bCs w:val="false"/>
          <w:i w:val="false"/>
          <w:iCs w:val="false"/>
          <w:sz w:val="22"/>
          <w:szCs w:val="22"/>
        </w:rPr>
        <w:t xml:space="preserve">The native emailAddress field supports multiple email addresses with a primary designation. For Client, Partner, Donor, Administrator, Presenter, and Member contacts, the native email field is sufficient. For Mentor contacts, two additional custom email fields (personalEmail, cbmEmailAddress) are defined in Section 3 to maintain an explicit distinction between personal and organizational email addresses. The native emailAddress field remains available on Mentor contacts but is not the primary mechanism for mentor email management.</w:t>
      </w:r>
    </w:p>
    <w:p>
      <w:pPr>
        <w:spacing w:after="120"/>
      </w:pPr>
      <w:r>
        <w:rPr>
          <w:rFonts w:ascii="Arial" w:cs="Arial" w:eastAsia="Arial" w:hAnsi="Arial"/>
          <w:b/>
          <w:bCs/>
          <w:i w:val="false"/>
          <w:iCs w:val="false"/>
          <w:sz w:val="22"/>
          <w:szCs w:val="22"/>
        </w:rPr>
        <w:t xml:space="preserve">Note on address: </w:t>
      </w:r>
      <w:r>
        <w:rPr>
          <w:rFonts w:ascii="Arial" w:cs="Arial" w:eastAsia="Arial" w:hAnsi="Arial"/>
          <w:b w:val="false"/>
          <w:bCs w:val="false"/>
          <w:i w:val="false"/>
          <w:iCs w:val="false"/>
          <w:sz w:val="22"/>
          <w:szCs w:val="22"/>
        </w:rPr>
        <w:t xml:space="preserve">The Client Intake process collects only zip code (MN-INTAKE-DAT-014), which maps to the native addressPostalCode field. The full address composite is available for any contact type where a complete address is needed. No custom address fields are required.</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scope: shared fields (visible for all contact types, no dynamic logic required), CBM internal fields (visible for organizational member types), and type-specific fields (controlled by dynamic logic visibility rules based on contactType).</w:t>
      </w:r>
    </w:p>
    <w:p>
      <w:pPr>
        <w:pStyle w:val="Heading2"/>
        <w:spacing w:after="120" w:before="240"/>
      </w:pPr>
      <w:r>
        <w:rPr>
          <w:rFonts w:ascii="Arial" w:cs="Arial" w:eastAsia="Arial" w:hAnsi="Arial"/>
          <w:b/>
          <w:bCs/>
          <w:i w:val="false"/>
          <w:iCs w:val="false"/>
          <w:color w:val="1F3864"/>
          <w:sz w:val="28"/>
          <w:szCs w:val="28"/>
        </w:rPr>
        <w:t xml:space="preserve">3.1 Shared Fields</w:t>
      </w:r>
    </w:p>
    <w:p>
      <w:pPr>
        <w:spacing w:after="120"/>
      </w:pPr>
      <w:r>
        <w:rPr>
          <w:rFonts w:ascii="Arial" w:cs="Arial" w:eastAsia="Arial" w:hAnsi="Arial"/>
          <w:b w:val="false"/>
          <w:bCs w:val="false"/>
          <w:i w:val="false"/>
          <w:iCs w:val="false"/>
          <w:sz w:val="22"/>
          <w:szCs w:val="22"/>
        </w:rPr>
        <w:t xml:space="preserve">The following custom fields apply to all contact types. No dynamic logic visibility rules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Mentor, Partner, Administrator, Presenter, Donor, Member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EI-2a</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discriminator field for the Contact entity. Determines which type-specific fields and panels are visible. A Contact may hold any combination of values. Set based on how the Contact enters the system (e.g., Mentor at MR-APPLY submission, Client at MN-INTAKE submission).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All.</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preferredName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the contact prefers to be called. Used in communications when provided. Originally defined for Client contacts; applicable to all contact types.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MR, CR, FU.</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linkedInProfile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url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MN-INTAKE-DAT-015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LinkedIn profile URL. Provides professional background context. Defined in MN-INTAKE for Client contacts and in MR domain for Mentor contacts.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howDidYouHearAboutCbm</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CON-ISS-005</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MR-ISS-003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How the contact learned about CBM. Recorded at point of first contact for any contact type. Supports referral channel and outreach effectiveness reporting.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CR.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termsAndConditionsAccepted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contact has accepted CBM’s terms and conditions. System-populated from application or portal form submission. Admin-only; read-only for contacts. Shared for portal readiness.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(currently), all (future).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readOnly, admin-only.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termsAndConditionsAcceptanceDateTime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Timestamp of terms and conditions acceptance. System-populated. Admin-only; read-only for contacts.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(currently), all (future).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readOnly, admin-only.</w:t>
            </w:r>
          </w:p>
        </w:tc>
      </w:tr>
    </w:tbl>
    <w:p>
      <w:pPr>
        <w:pStyle w:val="Heading2"/>
        <w:spacing w:after="120" w:before="240"/>
      </w:pPr>
      <w:r>
        <w:rPr>
          <w:rFonts w:ascii="Arial" w:cs="Arial" w:eastAsia="Arial" w:hAnsi="Arial"/>
          <w:b/>
          <w:bCs/>
          <w:i w:val="false"/>
          <w:iCs w:val="false"/>
          <w:color w:val="1F3864"/>
          <w:sz w:val="28"/>
          <w:szCs w:val="28"/>
        </w:rPr>
        <w:t xml:space="preserve">3.2 CBM Internal Fields</w:t>
      </w:r>
    </w:p>
    <w:p>
      <w:pPr>
        <w:spacing w:after="120"/>
      </w:pPr>
      <w:r>
        <w:rPr>
          <w:rFonts w:ascii="Arial" w:cs="Arial" w:eastAsia="Arial" w:hAnsi="Arial"/>
          <w:b w:val="false"/>
          <w:bCs w:val="false"/>
          <w:i w:val="false"/>
          <w:iCs w:val="false"/>
          <w:sz w:val="22"/>
          <w:szCs w:val="22"/>
        </w:rPr>
        <w:t xml:space="preserve">The following custom fields are visible when contactType has any CBM organizational member value: Mentor, Member, Administrator, or Presenter. Hidden for external relationship types: Client, Partner,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boardPosition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contact’s title or role on the CBM board (e.g., Board Chair, Treasurer, Secretary). A board member must be a CBM organizational member but may hold any internal contact type.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contactType has Mentor OR Member OR Administrator OR Presenter.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r>
        <w:br w:type="page"/>
      </w:r>
    </w:p>
    <w:p>
      <w:pPr>
        <w:pStyle w:val="Heading2"/>
        <w:spacing w:after="120" w:before="240"/>
      </w:pPr>
      <w:r>
        <w:rPr>
          <w:rFonts w:ascii="Arial" w:cs="Arial" w:eastAsia="Arial" w:hAnsi="Arial"/>
          <w:b/>
          <w:bCs/>
          <w:i w:val="false"/>
          <w:iCs w:val="false"/>
          <w:color w:val="1F3864"/>
          <w:sz w:val="28"/>
          <w:szCs w:val="28"/>
        </w:rPr>
        <w:t xml:space="preserve">3.3 Mentor-Specific Fields</w:t>
      </w:r>
    </w:p>
    <w:p>
      <w:pPr>
        <w:spacing w:after="120"/>
      </w:pPr>
      <w:r>
        <w:rPr>
          <w:rFonts w:ascii="Arial" w:cs="Arial" w:eastAsia="Arial" w:hAnsi="Arial"/>
          <w:b w:val="false"/>
          <w:bCs w:val="false"/>
          <w:i w:val="false"/>
          <w:iCs w:val="false"/>
          <w:sz w:val="22"/>
          <w:szCs w:val="22"/>
        </w:rPr>
        <w:t xml:space="preserve">The following custom fields are visible only when contactType has Mentor. All fields in this section use the dynamic logic visibility rule: contactType has Mentor.</w:t>
      </w:r>
    </w:p>
    <w:p>
      <w:pPr>
        <w:spacing w:after="120"/>
      </w:pPr>
      <w:r>
        <w:rPr>
          <w:rFonts w:ascii="Arial" w:cs="Arial" w:eastAsia="Arial" w:hAnsi="Arial"/>
          <w:b/>
          <w:bCs/>
          <w:i w:val="false"/>
          <w:iCs w:val="false"/>
          <w:color w:val="1F3864"/>
          <w:sz w:val="22"/>
          <w:szCs w:val="22"/>
        </w:rPr>
        <w:t xml:space="preserve">Lifecycle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Prospect, Submitted, In Review, Provisional, Active, Paused, Inactive, Resigned, Departed, Declined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current lifecycle stage of the mentor’s relationship with CBM. Drives assignment eligibility, role-based access control, and inactivity monitoring. Only Active mentors are eligible for new assignments.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audited.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acceptingNewClients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MN-MATCH-DAT-016</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is currently available for new client assignments. Relevant only when mentorStatus = Active. Mentor-editable. Set by Mentor Administrator at 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maximumClientCapacity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Maximum number of simultaneous active client engagements this mentor will accept. Set by Mentor Administrator at activation. Mentor-editable.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currentActiveClients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Engagements where this mentor is Assigned Mentor and Engagement Status is Active or Assigned.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availableCapacity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maximumClientCapacity minus currentActiveClients. Used during mentor nomination to verify capacity before assignment.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Contact 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personalEmail</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personal email address. Used for all onboarding communications prior to CBM email activation and as a permanent contact address independent of their CBM account.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cbmEmailAddress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email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assigned CBM organizational email address. Populated by Mentor Administrator during activation. Used for all ongoing mentoring communications after activation. Cleared on departure.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admin-populated.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currentEmployer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name of the mentor’s current employer or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currentlyEmployed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was employed at the time of application. Point-in-time snapshot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yearsOfBusinessExperience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Total years of professional business experience. Used for mentor profile and matching.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Profile and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professionalBio</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Free-form description of the mentor’s professional background and work experience. Used for mentor profiles and matching communications.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industrySectors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Same as Client Org Industry Sector (20 NAICS sectors)</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Industry sectors where the mentor has experience. Primary matching criterion — compared against the client’s Industry Sector. Values must align with the Industry Sector field on Client Organization.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mentoringFocusAreas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CON-ISS-003</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Areas where the mentor can provide guidance. Primary matching criterion — compared against the client’s Mentoring Focus Areas on the Engagement record. Values must align with the Engagement-level Mentoring Focus Areas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skillsExpertiseTags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CON-ISS-004</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MN-MATCH-DAT-013</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Finer-grained expertise tags beyond industry sector and focus areas. Supports advanced mentor-client matching.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fluentLanguages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CON-ISS-005</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MN-MATCH-DAT-014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Languages the mentor is fluent in. Used to match clients who prefer to work in a language other than English.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(owner), MN (read-only reference).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whyInterestedInMentoring</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stated motivation for joining CBM as a volunteer mentor. Collected on the application form.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Role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isPrimaryMentor</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primary mentor assignments. Set by Mentor Administrator. Defaults to Yes on activation.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isCoMentor</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co-mentor assignments.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isSubjectMatterExpert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this mentor is eligible for subject matter expert assignments.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Onboarding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ethicsAgreementAccepted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mentor has accepted the current CBM ethics agreement.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readOnly for mentors.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ethicsAgreementAcceptanceDateTime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and time of the mentor’s most recent ethics agreement acceptance. Set by Mentor Administrator.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backgroundCheckCompleted</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a background check has been completed for this mentor.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hidden from mentor.</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backgroundCheckDate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the background check was completed.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hidden from mentor.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felonyConvictionDisclosure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Whether the applicant disclosed a felony conviction. System-populated from the mentor application form. Protects the integrity of the review process.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admin-only, hidden from mentor after submission.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trainingCompleted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bool</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System-populated via learning management system integration when required training is completed. May also be manually set by the Mentor Administrator as a fallback when LMS integration is unavailable. Mentor can see their own status.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or manually set by Mentor Administrator.</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trainingCompletionDate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MR-ONBOARD</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required training was completed. System-populated via LMS integration or manually set by the Mentor Administrator as a fallback.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system-populated or manually set by Mentor Administrator.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Dues and Financial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duesStatus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Unpaid, Paid, Waived</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current-year dues standing. Summary field maintained by the Mentor Administrator, independent of individual Dues entity records.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duesPaymentDate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of most recent dues payment. Not applicable when duesStatus = Waived.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duesRenewalDate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DUES-DEC-005</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mentor’s annual dues renewal date, derived from their activation anniversary. Used by the Mentor Administrator to determine when to create each year’s Dues record.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Added from Dues Entity PRD (DUES-DEC-005).</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applicationDeclineReason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Conditional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Insufficient Experience, Incomplete Application, Failed Background Check, Conflict of Interest, Unresponsive, Candidate Withdrew,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MR-APPLY-DAT-024</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Reason the mentor application was declined. Required when mentorStatus = Declined. Admin-only. Dynamic logic: visible only when mentorStatus = Declined. Used during both MR-APPLY (application decline) and MR-ONBOARD (onboarding decline). Reconciled to 7 values (MR-RECON-DEC-002): Unresponsive and Candidate Withdrew added by MR-ONBOARD.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 Declined.</w:t>
            </w:r>
          </w:p>
        </w:tc>
      </w:tr>
    </w:tbl>
    <w:p>
      <w:pPr>
        <w:spacing w:after="120"/>
      </w:pPr>
      <w:r>
        <w:rPr>
          <w:rFonts w:ascii="Arial" w:cs="Arial" w:eastAsia="Arial" w:hAnsi="Arial"/>
          <w:b/>
          <w:bCs/>
          <w:i w:val="false"/>
          <w:iCs w:val="false"/>
          <w:color w:val="1F3864"/>
          <w:sz w:val="22"/>
          <w:szCs w:val="22"/>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totalLifetimeSessions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MR-MANAGE-DAT-021</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all completed sessions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totalMentoringHours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float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MR-MANAGE-DAT-022</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Sum of all session hours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totalSessionsLast30Days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MR-MANAGE-DAT-023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Count of completed sessions in a rolling 30-day window across all of the mentor’s engagements. System-calculated, read-only. Visible in list views and detail pages.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system-calculated, readOnly.</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color w:val="1F3864"/>
          <w:sz w:val="22"/>
          <w:szCs w:val="22"/>
        </w:rPr>
        <w:t xml:space="preserve">Departure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departureReason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Relocated, Career Change, Time Constraints, Personal, Other</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MR-DEPART</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Reason the mentor exited CBM. Shown only when mentorStatus in [Resigned, Departed]. Set by Mentor Administrator at offboarding.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in [Resigned, Departed].</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departureDate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MR-DEPART</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Date the mentor formally departed. Shown only when mentorStatus in [Resigned, Departed].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MR.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admin-only. Dynamic logic: visible when mentorStatus in [Resigned, Departed].</w:t>
            </w:r>
          </w:p>
        </w:tc>
      </w:tr>
    </w:tbl>
    <w:p>
      <w:pPr>
        <w:pStyle w:val="Heading2"/>
        <w:spacing w:after="120" w:before="240"/>
      </w:pPr>
      <w:r>
        <w:rPr>
          <w:rFonts w:ascii="Arial" w:cs="Arial" w:eastAsia="Arial" w:hAnsi="Arial"/>
          <w:b/>
          <w:bCs/>
          <w:i w:val="false"/>
          <w:iCs w:val="false"/>
          <w:color w:val="1F3864"/>
          <w:sz w:val="28"/>
          <w:szCs w:val="28"/>
        </w:rPr>
        <w:t xml:space="preserve">3.4 Incomplete Domain Fields</w:t>
      </w:r>
    </w:p>
    <w:p>
      <w:pPr>
        <w:spacing w:after="120"/>
      </w:pPr>
      <w:r>
        <w:rPr>
          <w:rFonts w:ascii="Arial" w:cs="Arial" w:eastAsia="Arial" w:hAnsi="Arial"/>
          <w:b w:val="false"/>
          <w:bCs w:val="false"/>
          <w:i w:val="false"/>
          <w:iCs w:val="false"/>
          <w:sz w:val="22"/>
          <w:szCs w:val="22"/>
        </w:rPr>
        <w:t xml:space="preserve">The following contact types have no type-specific custom fields defined yet. Additional fields are expected when their respective domain process documents are completed.</w:t>
      </w:r>
    </w:p>
    <w:p>
      <w:pPr>
        <w:pStyle w:val="ListParagraph"/>
        <w:numPr>
          <w:ilvl w:val="0"/>
          <w:numId w:val="2"/>
        </w:numPr>
        <w:spacing w:after="60"/>
      </w:pPr>
      <w:r>
        <w:rPr>
          <w:rFonts w:ascii="Arial" w:cs="Arial" w:eastAsia="Arial" w:hAnsi="Arial"/>
          <w:b/>
          <w:bCs/>
          <w:i w:val="false"/>
          <w:iCs w:val="false"/>
          <w:sz w:val="22"/>
          <w:szCs w:val="22"/>
        </w:rPr>
        <w:t xml:space="preserve">Client</w:t>
      </w:r>
      <w:r>
        <w:rPr>
          <w:rFonts w:ascii="Arial" w:cs="Arial" w:eastAsia="Arial" w:hAnsi="Arial"/>
          <w:b w:val="false"/>
          <w:bCs w:val="false"/>
          <w:i w:val="false"/>
          <w:iCs w:val="false"/>
          <w:sz w:val="22"/>
          <w:szCs w:val="22"/>
        </w:rPr>
        <w:t xml:space="preserve"> — No custom fields beyond the shared fields in Section 3.1. A Client-specific lifecycle field (analogous to mentorStatus) is an open issue (CON-ISS-001). Field-level detail is available from the MN Domain PRD for Client Contact identity fields, but these map to native fields (Section 2).</w:t>
      </w:r>
    </w:p>
    <w:p>
      <w:pPr>
        <w:pStyle w:val="ListParagraph"/>
        <w:numPr>
          <w:ilvl w:val="0"/>
          <w:numId w:val="2"/>
        </w:numPr>
        <w:spacing w:after="60"/>
      </w:pPr>
      <w:r>
        <w:rPr>
          <w:rFonts w:ascii="Arial" w:cs="Arial" w:eastAsia="Arial" w:hAnsi="Arial"/>
          <w:b/>
          <w:bCs/>
          <w:i w:val="false"/>
          <w:iCs w:val="false"/>
          <w:sz w:val="22"/>
          <w:szCs w:val="22"/>
        </w:rPr>
        <w:t xml:space="preserve">Partner</w:t>
      </w:r>
      <w:r>
        <w:rPr>
          <w:rFonts w:ascii="Arial" w:cs="Arial" w:eastAsia="Arial" w:hAnsi="Arial"/>
          <w:b w:val="false"/>
          <w:bCs w:val="false"/>
          <w:i w:val="false"/>
          <w:iCs w:val="false"/>
          <w:sz w:val="22"/>
          <w:szCs w:val="22"/>
        </w:rPr>
        <w:t xml:space="preserve"> — No custom fields defined. A Partner-specific lifecycle field is an open issue (CON-ISS-002). Partner Contact fields will be defined during CR domain process definition.</w:t>
      </w:r>
    </w:p>
    <w:p>
      <w:pPr>
        <w:pStyle w:val="ListParagraph"/>
        <w:numPr>
          <w:ilvl w:val="0"/>
          <w:numId w:val="2"/>
        </w:numPr>
        <w:spacing w:after="60"/>
      </w:pPr>
      <w:r>
        <w:rPr>
          <w:rFonts w:ascii="Arial" w:cs="Arial" w:eastAsia="Arial" w:hAnsi="Arial"/>
          <w:b/>
          <w:bCs/>
          <w:i w:val="false"/>
          <w:iCs w:val="false"/>
          <w:sz w:val="22"/>
          <w:szCs w:val="22"/>
        </w:rPr>
        <w:t xml:space="preserve">Donor</w:t>
      </w:r>
      <w:r>
        <w:rPr>
          <w:rFonts w:ascii="Arial" w:cs="Arial" w:eastAsia="Arial" w:hAnsi="Arial"/>
          <w:b w:val="false"/>
          <w:bCs w:val="false"/>
          <w:i w:val="false"/>
          <w:iCs w:val="false"/>
          <w:sz w:val="22"/>
          <w:szCs w:val="22"/>
        </w:rPr>
        <w:t xml:space="preserve"> — No custom fields defined. A Donor-specific lifecycle field is an open issue (CON-ISS-003). Donor Contact fields will be defined during FU domain process definition.</w:t>
      </w:r>
    </w:p>
    <w:p>
      <w:pPr>
        <w:pStyle w:val="ListParagraph"/>
        <w:numPr>
          <w:ilvl w:val="0"/>
          <w:numId w:val="2"/>
        </w:numPr>
        <w:spacing w:after="60"/>
      </w:pPr>
      <w:r>
        <w:rPr>
          <w:rFonts w:ascii="Arial" w:cs="Arial" w:eastAsia="Arial" w:hAnsi="Arial"/>
          <w:b/>
          <w:bCs/>
          <w:i w:val="false"/>
          <w:iCs w:val="false"/>
          <w:sz w:val="22"/>
          <w:szCs w:val="22"/>
        </w:rPr>
        <w:t xml:space="preserve">Administrator</w:t>
      </w:r>
      <w:r>
        <w:rPr>
          <w:rFonts w:ascii="Arial" w:cs="Arial" w:eastAsia="Arial" w:hAnsi="Arial"/>
          <w:b w:val="false"/>
          <w:bCs w:val="false"/>
          <w:i w:val="false"/>
          <w:iCs w:val="false"/>
          <w:sz w:val="22"/>
          <w:szCs w:val="22"/>
        </w:rPr>
        <w:t xml:space="preserve"> — No type-specific custom fields anticipated beyond shared and CBM internal fields.</w:t>
      </w:r>
    </w:p>
    <w:p>
      <w:pPr>
        <w:pStyle w:val="ListParagraph"/>
        <w:numPr>
          <w:ilvl w:val="0"/>
          <w:numId w:val="2"/>
        </w:numPr>
        <w:spacing w:after="60"/>
      </w:pPr>
      <w:r>
        <w:rPr>
          <w:rFonts w:ascii="Arial" w:cs="Arial" w:eastAsia="Arial" w:hAnsi="Arial"/>
          <w:b/>
          <w:bCs/>
          <w:i w:val="false"/>
          <w:iCs w:val="false"/>
          <w:sz w:val="22"/>
          <w:szCs w:val="22"/>
        </w:rPr>
        <w:t xml:space="preserve">Presenter</w:t>
      </w:r>
      <w:r>
        <w:rPr>
          <w:rFonts w:ascii="Arial" w:cs="Arial" w:eastAsia="Arial" w:hAnsi="Arial"/>
          <w:b w:val="false"/>
          <w:bCs w:val="false"/>
          <w:i w:val="false"/>
          <w:iCs w:val="false"/>
          <w:sz w:val="22"/>
          <w:szCs w:val="22"/>
        </w:rPr>
        <w:t xml:space="preserve"> — No custom fields defined. Presenter-specific fields (if any) will be defined during CR domain process definition.</w:t>
      </w:r>
    </w:p>
    <w:p>
      <w:pPr>
        <w:pStyle w:val="ListParagraph"/>
        <w:numPr>
          <w:ilvl w:val="0"/>
          <w:numId w:val="2"/>
        </w:numPr>
        <w:spacing w:after="60"/>
      </w:pPr>
      <w:r>
        <w:rPr>
          <w:rFonts w:ascii="Arial" w:cs="Arial" w:eastAsia="Arial" w:hAnsi="Arial"/>
          <w:b/>
          <w:bCs/>
          <w:i w:val="false"/>
          <w:iCs w:val="false"/>
          <w:sz w:val="22"/>
          <w:szCs w:val="22"/>
        </w:rPr>
        <w:t xml:space="preserve">Member</w:t>
      </w:r>
      <w:r>
        <w:rPr>
          <w:rFonts w:ascii="Arial" w:cs="Arial" w:eastAsia="Arial" w:hAnsi="Arial"/>
          <w:b w:val="false"/>
          <w:bCs w:val="false"/>
          <w:i w:val="false"/>
          <w:iCs w:val="false"/>
          <w:sz w:val="22"/>
          <w:szCs w:val="22"/>
        </w:rPr>
        <w:t xml:space="preserve"> — No custom fields defined. Member-specific fields (if any) will be defined during CR domain process definition.</w:t>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Contact entity, compiled from all domains. Relationship implementation details (link names, labels) will be finalized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Contact → Account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Account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relationship</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 CR, FU</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Mentor → Engagement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MN-MATCH-DAT-019</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Additional Mentors →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MN-ENGAGE-DAT-015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Engagement Contacts → Engagement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MN-MATCH-DAT-021</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Primary Engagement Contact →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MN-INTAKE-DAT-020</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Attendees → Session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MN-ENGAGE-DAT-034</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 Attendees → Session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 Dues</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Dues</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MR-MANAGE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Requesting Mentor → SME Request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SME Request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 entity</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 SME → SME Request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SME Request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oneToMany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 entity</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MR</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Primary Contact: </w:t>
      </w:r>
      <w:r>
        <w:rPr>
          <w:rFonts w:ascii="Arial" w:cs="Arial" w:eastAsia="Arial" w:hAnsi="Arial"/>
          <w:b w:val="false"/>
          <w:bCs w:val="false"/>
          <w:i w:val="false"/>
          <w:iCs w:val="false"/>
          <w:sz w:val="22"/>
          <w:szCs w:val="22"/>
        </w:rPr>
        <w:t xml:space="preserve">The “Primary Contact” designation (MN-INTAKE-DAT-016) is implemented as a bool on the Contact-to-Account relationship, not as a field on the Contact entity. This allows a single Contact to be the primary contact for one Account but not for another. The relationship-level implementation is defined in the Account Entity PRD.</w:t>
      </w:r>
    </w:p>
    <w:p>
      <w:pPr>
        <w:spacing w:after="120"/>
      </w:pPr>
      <w:r>
        <w:rPr>
          <w:rFonts w:ascii="Arial" w:cs="Arial" w:eastAsia="Arial" w:hAnsi="Arial"/>
          <w:b/>
          <w:bCs/>
          <w:i w:val="false"/>
          <w:iCs w:val="false"/>
          <w:sz w:val="22"/>
          <w:szCs w:val="22"/>
        </w:rPr>
        <w:t xml:space="preserve">Anticipated future relationships: </w:t>
      </w:r>
      <w:r>
        <w:rPr>
          <w:rFonts w:ascii="Arial" w:cs="Arial" w:eastAsia="Arial" w:hAnsi="Arial"/>
          <w:b w:val="false"/>
          <w:bCs w:val="false"/>
          <w:i w:val="false"/>
          <w:iCs w:val="false"/>
          <w:sz w:val="22"/>
          <w:szCs w:val="22"/>
        </w:rPr>
        <w:t xml:space="preserve">Contact → Event Registration (CR domain), Contact → Event as Presenter (CR domain), Contact → Contribution as Donor (FU domain), Contact → Fundraising Campaign (FU domain). These will be defined when their respective domain process documents are completed.</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Dynamic logic visibility rules control which fields and panels are visible based on the contactType discriminator. Because contactType is a multiEnum, rules use the "has" operator — a Contact with contactType = [Mentor, Presenter] would see both Mentor-specific and Presenter-specific fields.</w:t>
      </w:r>
    </w:p>
    <w:p>
      <w:pPr>
        <w:pStyle w:val="Heading2"/>
        <w:spacing w:after="120" w:before="240"/>
      </w:pPr>
      <w:r>
        <w:rPr>
          <w:rFonts w:ascii="Arial" w:cs="Arial" w:eastAsia="Arial" w:hAnsi="Arial"/>
          <w:b/>
          <w:bCs/>
          <w:i w:val="false"/>
          <w:iCs w:val="false"/>
          <w:color w:val="1F3864"/>
          <w:sz w:val="28"/>
          <w:szCs w:val="28"/>
        </w:rPr>
        <w:t xml:space="preserve">5.1 CBM Internal Types</w:t>
      </w:r>
    </w:p>
    <w:p>
      <w:pPr>
        <w:spacing w:after="120"/>
      </w:pPr>
      <w:r>
        <w:rPr>
          <w:rFonts w:ascii="Arial" w:cs="Arial" w:eastAsia="Arial" w:hAnsi="Arial"/>
          <w:b/>
          <w:bCs/>
          <w:i w:val="false"/>
          <w:iCs w:val="false"/>
          <w:sz w:val="22"/>
          <w:szCs w:val="22"/>
        </w:rPr>
        <w:t xml:space="preserve">Condition: </w:t>
      </w:r>
      <w:r>
        <w:rPr>
          <w:rFonts w:ascii="Arial" w:cs="Arial" w:eastAsia="Arial" w:hAnsi="Arial"/>
          <w:b w:val="false"/>
          <w:bCs w:val="false"/>
          <w:i w:val="false"/>
          <w:iCs w:val="false"/>
          <w:sz w:val="22"/>
          <w:szCs w:val="22"/>
        </w:rPr>
        <w:t xml:space="preserve">contactType has Mentor OR contactType has Member OR contactType has Administrator OR contactType has Presenter</w:t>
      </w:r>
    </w:p>
    <w:p>
      <w:pPr>
        <w:spacing w:after="120"/>
      </w:pPr>
      <w:r>
        <w:rPr>
          <w:rFonts w:ascii="Arial" w:cs="Arial" w:eastAsia="Arial" w:hAnsi="Arial"/>
          <w:b/>
          <w:bCs/>
          <w:i w:val="false"/>
          <w:iCs w:val="false"/>
          <w:sz w:val="22"/>
          <w:szCs w:val="22"/>
        </w:rPr>
        <w:t xml:space="preserve">Show: </w:t>
      </w:r>
      <w:r>
        <w:rPr>
          <w:rFonts w:ascii="Arial" w:cs="Arial" w:eastAsia="Arial" w:hAnsi="Arial"/>
          <w:b w:val="false"/>
          <w:bCs w:val="false"/>
          <w:i w:val="false"/>
          <w:iCs w:val="false"/>
          <w:sz w:val="22"/>
          <w:szCs w:val="22"/>
        </w:rPr>
        <w:t xml:space="preserve">boardPosition</w:t>
      </w:r>
    </w:p>
    <w:p>
      <w:pPr>
        <w:pStyle w:val="Heading2"/>
        <w:spacing w:after="120" w:before="240"/>
      </w:pPr>
      <w:r>
        <w:rPr>
          <w:rFonts w:ascii="Arial" w:cs="Arial" w:eastAsia="Arial" w:hAnsi="Arial"/>
          <w:b/>
          <w:bCs/>
          <w:i w:val="false"/>
          <w:iCs w:val="false"/>
          <w:color w:val="1F3864"/>
          <w:sz w:val="28"/>
          <w:szCs w:val="28"/>
        </w:rPr>
        <w:t xml:space="preserve">5.2 Mentor (contactType has Mentor)</w:t>
      </w:r>
    </w:p>
    <w:p>
      <w:pPr>
        <w:spacing w:after="120"/>
      </w:pPr>
      <w:r>
        <w:rPr>
          <w:rFonts w:ascii="Arial" w:cs="Arial" w:eastAsia="Arial" w:hAnsi="Arial"/>
          <w:b/>
          <w:bCs/>
          <w:i w:val="false"/>
          <w:iCs w:val="false"/>
          <w:sz w:val="22"/>
          <w:szCs w:val="22"/>
        </w:rPr>
        <w:t xml:space="preserve">Condition: </w:t>
      </w:r>
      <w:r>
        <w:rPr>
          <w:rFonts w:ascii="Arial" w:cs="Arial" w:eastAsia="Arial" w:hAnsi="Arial"/>
          <w:b w:val="false"/>
          <w:bCs w:val="false"/>
          <w:i w:val="false"/>
          <w:iCs w:val="false"/>
          <w:sz w:val="22"/>
          <w:szCs w:val="22"/>
        </w:rPr>
        <w:t xml:space="preserve">contactType has Mentor</w:t>
      </w:r>
    </w:p>
    <w:p>
      <w:pPr>
        <w:spacing w:after="120"/>
      </w:pPr>
      <w:r>
        <w:rPr>
          <w:rFonts w:ascii="Arial" w:cs="Arial" w:eastAsia="Arial" w:hAnsi="Arial"/>
          <w:b/>
          <w:bCs/>
          <w:i w:val="false"/>
          <w:iCs w:val="false"/>
          <w:sz w:val="22"/>
          <w:szCs w:val="22"/>
        </w:rPr>
        <w:t xml:space="preserve">Show all fields in Section 3.3: </w:t>
      </w:r>
      <w:r>
        <w:rPr>
          <w:rFonts w:ascii="Arial" w:cs="Arial" w:eastAsia="Arial" w:hAnsi="Arial"/>
          <w:b w:val="false"/>
          <w:bCs w:val="false"/>
          <w:i w:val="false"/>
          <w:iCs w:val="false"/>
          <w:sz w:val="22"/>
          <w:szCs w:val="22"/>
        </w:rPr>
        <w:t xml:space="preserve">mentorStatus, acceptingNewClients, maximumClientCapacity, currentActiveClients, availableCapacity, personalEmail, cbmEmailAddress, currentEmployer, currentlyEmployed, yearsOfBusinessExperience, professionalBio, industrySectors, mentoringFocusAreas, skillsExpertiseTags, fluentLanguages, whyInterestedInMentoring, isPrimaryMentor, isCoMentor, isSubjectMatterExpert, ethicsAgreementAccepted, ethicsAgreementAcceptanceDateTime, backgroundCheckCompleted, backgroundCheckDate, felonyConvictionDisclosure, trainingCompleted, trainingCompletionDate, duesStatus, duesPaymentDate, duesRenewalDate, applicationDeclineReason, totalLifetimeSessions, totalMentoringHours, totalSessionsLast30Days, departureReason, departureDate</w:t>
      </w:r>
    </w:p>
    <w:p>
      <w:pPr>
        <w:pStyle w:val="Heading2"/>
        <w:spacing w:after="120" w:before="240"/>
      </w:pPr>
      <w:r>
        <w:rPr>
          <w:rFonts w:ascii="Arial" w:cs="Arial" w:eastAsia="Arial" w:hAnsi="Arial"/>
          <w:b/>
          <w:bCs/>
          <w:i w:val="false"/>
          <w:iCs w:val="false"/>
          <w:color w:val="1F3864"/>
          <w:sz w:val="28"/>
          <w:szCs w:val="28"/>
        </w:rPr>
        <w:t xml:space="preserve">5.3 Additional Mentor Conditional Rules</w:t>
      </w:r>
    </w:p>
    <w:p>
      <w:pPr>
        <w:spacing w:after="120"/>
      </w:pPr>
      <w:r>
        <w:rPr>
          <w:rFonts w:ascii="Arial" w:cs="Arial" w:eastAsia="Arial" w:hAnsi="Arial"/>
          <w:b w:val="false"/>
          <w:bCs w:val="false"/>
          <w:i w:val="false"/>
          <w:iCs w:val="false"/>
          <w:sz w:val="22"/>
          <w:szCs w:val="22"/>
        </w:rPr>
        <w:t xml:space="preserve">Within the Mentor-specific fields, the following fields have secondary visibility conditions:</w:t>
      </w:r>
    </w:p>
    <w:p>
      <w:pPr>
        <w:pStyle w:val="ListParagraph"/>
        <w:numPr>
          <w:ilvl w:val="0"/>
          <w:numId w:val="2"/>
        </w:numPr>
        <w:spacing w:after="60"/>
      </w:pPr>
      <w:r>
        <w:rPr>
          <w:rFonts w:ascii="Arial" w:cs="Arial" w:eastAsia="Arial" w:hAnsi="Arial"/>
          <w:b/>
          <w:bCs/>
          <w:i w:val="false"/>
          <w:iCs w:val="false"/>
          <w:sz w:val="22"/>
          <w:szCs w:val="22"/>
        </w:rPr>
        <w:t xml:space="preserve">applicationDeclineReason</w:t>
      </w:r>
      <w:r>
        <w:rPr>
          <w:rFonts w:ascii="Arial" w:cs="Arial" w:eastAsia="Arial" w:hAnsi="Arial"/>
          <w:b w:val="false"/>
          <w:bCs w:val="false"/>
          <w:i w:val="false"/>
          <w:iCs w:val="false"/>
          <w:sz w:val="22"/>
          <w:szCs w:val="22"/>
        </w:rPr>
        <w:t xml:space="preserve"> — visible only when mentorStatus = Declined</w:t>
      </w:r>
    </w:p>
    <w:p>
      <w:pPr>
        <w:numPr>
          <w:ilvl w:val="0"/>
          <w:numId w:val="2"/>
        </w:numPr>
        <w:spacing w:after="60"/>
      </w:pPr>
      <w:r>
        <w:rPr>
          <w:rFonts w:ascii="Arial" w:cs="Arial" w:eastAsia="Arial" w:hAnsi="Arial"/>
          <w:b/>
          <w:bCs/>
          <w:i w:val="false"/>
          <w:iCs w:val="false"/>
          <w:sz w:val="22"/>
          <w:szCs w:val="22"/>
        </w:rPr>
        <w:t xml:space="preserve">departureReason, departureDate</w:t>
      </w:r>
      <w:r>
        <w:rPr>
          <w:rFonts w:ascii="Arial" w:cs="Arial" w:eastAsia="Arial" w:hAnsi="Arial"/>
          <w:b w:val="false"/>
          <w:bCs w:val="false"/>
          <w:i w:val="false"/>
          <w:iCs w:val="false"/>
          <w:sz w:val="22"/>
          <w:szCs w:val="22"/>
        </w:rPr>
        <w:t xml:space="preserve"> — visible only when mentorStatus in [Resigned, Departed]</w:t>
      </w:r>
    </w:p>
    <w:p>
      <w:pPr>
        <w:pStyle w:val="Heading2"/>
        <w:spacing w:after="120" w:before="240"/>
      </w:pPr>
      <w:r>
        <w:rPr>
          <w:rFonts w:ascii="Arial" w:cs="Arial" w:eastAsia="Arial" w:hAnsi="Arial"/>
          <w:b/>
          <w:bCs/>
          <w:i w:val="false"/>
          <w:iCs w:val="false"/>
          <w:color w:val="1F3864"/>
          <w:sz w:val="28"/>
          <w:szCs w:val="28"/>
        </w:rPr>
        <w:t xml:space="preserve">5.4 Client (contactType has Client)</w:t>
      </w:r>
    </w:p>
    <w:p>
      <w:pPr>
        <w:spacing w:after="120"/>
      </w:pPr>
      <w:r>
        <w:rPr>
          <w:rFonts w:ascii="Arial" w:cs="Arial" w:eastAsia="Arial" w:hAnsi="Arial"/>
          <w:b w:val="false"/>
          <w:bCs w:val="false"/>
          <w:i w:val="false"/>
          <w:iCs w:val="false"/>
          <w:sz w:val="22"/>
          <w:szCs w:val="22"/>
        </w:rPr>
        <w:t xml:space="preserve">No Client-specific custom fields are defined yet. When the Client lifecycle field is defined (CON-ISS-001), it will require a visibility rule: contactType has Client.</w:t>
      </w:r>
    </w:p>
    <w:p>
      <w:pPr>
        <w:pStyle w:val="Heading2"/>
        <w:spacing w:after="120" w:before="240"/>
      </w:pPr>
      <w:r>
        <w:rPr>
          <w:rFonts w:ascii="Arial" w:cs="Arial" w:eastAsia="Arial" w:hAnsi="Arial"/>
          <w:b/>
          <w:bCs/>
          <w:i w:val="false"/>
          <w:iCs w:val="false"/>
          <w:color w:val="1F3864"/>
          <w:sz w:val="28"/>
          <w:szCs w:val="28"/>
        </w:rPr>
        <w:t xml:space="preserve">5.5 Partner (contactType has Partner)</w:t>
      </w:r>
    </w:p>
    <w:p>
      <w:pPr>
        <w:spacing w:after="120"/>
      </w:pPr>
      <w:r>
        <w:rPr>
          <w:rFonts w:ascii="Arial" w:cs="Arial" w:eastAsia="Arial" w:hAnsi="Arial"/>
          <w:b w:val="false"/>
          <w:bCs w:val="false"/>
          <w:i w:val="false"/>
          <w:iCs w:val="false"/>
          <w:sz w:val="22"/>
          <w:szCs w:val="22"/>
        </w:rPr>
        <w:t xml:space="preserve">No Partner-specific custom fields are defined yet. When the Partner lifecycle field is defined (CON-ISS-002), it will require a visibility rule: contactType has Partner.</w:t>
      </w:r>
    </w:p>
    <w:p>
      <w:pPr>
        <w:pStyle w:val="Heading2"/>
        <w:spacing w:after="120" w:before="240"/>
      </w:pPr>
      <w:r>
        <w:rPr>
          <w:rFonts w:ascii="Arial" w:cs="Arial" w:eastAsia="Arial" w:hAnsi="Arial"/>
          <w:b/>
          <w:bCs/>
          <w:i w:val="false"/>
          <w:iCs w:val="false"/>
          <w:color w:val="1F3864"/>
          <w:sz w:val="28"/>
          <w:szCs w:val="28"/>
        </w:rPr>
        <w:t xml:space="preserve">5.6 Donor (contactType has Donor)</w:t>
      </w:r>
    </w:p>
    <w:p>
      <w:pPr>
        <w:spacing w:after="120"/>
      </w:pPr>
      <w:r>
        <w:rPr>
          <w:rFonts w:ascii="Arial" w:cs="Arial" w:eastAsia="Arial" w:hAnsi="Arial"/>
          <w:b w:val="false"/>
          <w:bCs w:val="false"/>
          <w:i w:val="false"/>
          <w:iCs w:val="false"/>
          <w:sz w:val="22"/>
          <w:szCs w:val="22"/>
        </w:rPr>
        <w:t xml:space="preserve">No Donor-specific custom fields are defined yet. When the Donor lifecycle field is defined (CON-ISS-003), it will require a visibility rule: contactType has Donor.</w:t>
      </w:r>
    </w:p>
    <w:p>
      <w:pPr>
        <w:pStyle w:val="Heading2"/>
        <w:spacing w:after="120" w:before="240"/>
      </w:pPr>
      <w:r>
        <w:rPr>
          <w:rFonts w:ascii="Arial" w:cs="Arial" w:eastAsia="Arial" w:hAnsi="Arial"/>
          <w:b/>
          <w:bCs/>
          <w:i w:val="false"/>
          <w:iCs w:val="false"/>
          <w:color w:val="1F3864"/>
          <w:sz w:val="28"/>
          <w:szCs w:val="28"/>
        </w:rPr>
        <w:t xml:space="preserve">5.7 Administrator, Presenter, Member</w:t>
      </w:r>
    </w:p>
    <w:p>
      <w:pPr>
        <w:spacing w:after="120"/>
      </w:pPr>
      <w:r>
        <w:rPr>
          <w:rFonts w:ascii="Arial" w:cs="Arial" w:eastAsia="Arial" w:hAnsi="Arial"/>
          <w:b w:val="false"/>
          <w:bCs w:val="false"/>
          <w:i w:val="false"/>
          <w:iCs w:val="false"/>
          <w:sz w:val="22"/>
          <w:szCs w:val="22"/>
        </w:rPr>
        <w:t xml:space="preserve">No type-specific custom fields are defined for these types beyond the CBM internal fields in Section 5.1. Dynamic logic rules will be added if type-specific fields are defined during CR domain process work.</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panel/tab grouping is a recommendation for the Contact detail view. Final layout is determined during YAML generation. Dynamic logic hides entire panels when the relevant contactType is not present.</w:t>
      </w:r>
    </w:p>
    <w:p>
      <w:pPr>
        <w:spacing w:after="120"/>
      </w:pPr>
      <w:r>
        <w:rPr>
          <w:rFonts w:ascii="Arial" w:cs="Arial" w:eastAsia="Arial" w:hAnsi="Arial"/>
          <w:b/>
          <w:bCs/>
          <w:i w:val="false"/>
          <w:iCs w:val="false"/>
          <w:color w:val="1F3864"/>
          <w:sz w:val="22"/>
          <w:szCs w:val="22"/>
        </w:rPr>
        <w:t xml:space="preserve">Overview Panel (always visible)</w:t>
      </w:r>
    </w:p>
    <w:p>
      <w:pPr>
        <w:spacing w:after="120"/>
      </w:pPr>
      <w:r>
        <w:rPr>
          <w:rFonts w:ascii="Arial" w:cs="Arial" w:eastAsia="Arial" w:hAnsi="Arial"/>
          <w:b w:val="false"/>
          <w:bCs w:val="false"/>
          <w:i w:val="false"/>
          <w:iCs w:val="false"/>
          <w:sz w:val="22"/>
          <w:szCs w:val="22"/>
        </w:rPr>
        <w:t xml:space="preserve">Native identity fields: salutationName, firstName, middleName, lastName, title. Custom shared fields: contactType, preferredName, linkedInProfile, howDidYouHearAboutCbm. Native contact fields: emailAddress, phoneNumber, address composite.</w:t>
      </w:r>
    </w:p>
    <w:p>
      <w:pPr>
        <w:spacing w:after="120"/>
      </w:pPr>
      <w:r>
        <w:rPr>
          <w:rFonts w:ascii="Arial" w:cs="Arial" w:eastAsia="Arial" w:hAnsi="Arial"/>
          <w:b/>
          <w:bCs/>
          <w:i w:val="false"/>
          <w:iCs w:val="false"/>
          <w:color w:val="1F3864"/>
          <w:sz w:val="22"/>
          <w:szCs w:val="22"/>
        </w:rPr>
        <w:t xml:space="preserve">Mentor Profile Panel (contactType has Mentor)</w:t>
      </w:r>
    </w:p>
    <w:p>
      <w:pPr>
        <w:spacing w:after="120"/>
      </w:pPr>
      <w:r>
        <w:rPr>
          <w:rFonts w:ascii="Arial" w:cs="Arial" w:eastAsia="Arial" w:hAnsi="Arial"/>
          <w:b w:val="false"/>
          <w:bCs w:val="false"/>
          <w:i w:val="false"/>
          <w:iCs w:val="false"/>
          <w:sz w:val="22"/>
          <w:szCs w:val="22"/>
        </w:rPr>
        <w:t xml:space="preserve">personalEmail, cbmEmailAddress, currentEmployer, currentlyEmployed, yearsOfBusinessExperience, professionalBio.</w:t>
      </w:r>
    </w:p>
    <w:p>
      <w:pPr>
        <w:spacing w:after="120"/>
      </w:pPr>
      <w:r>
        <w:rPr>
          <w:rFonts w:ascii="Arial" w:cs="Arial" w:eastAsia="Arial" w:hAnsi="Arial"/>
          <w:b/>
          <w:bCs/>
          <w:i w:val="false"/>
          <w:iCs w:val="false"/>
          <w:color w:val="1F3864"/>
          <w:sz w:val="22"/>
          <w:szCs w:val="22"/>
        </w:rPr>
        <w:t xml:space="preserve">Mentor Matching Panel (contactType has Mentor)</w:t>
      </w:r>
    </w:p>
    <w:p>
      <w:pPr>
        <w:spacing w:after="120"/>
      </w:pPr>
      <w:r>
        <w:rPr>
          <w:rFonts w:ascii="Arial" w:cs="Arial" w:eastAsia="Arial" w:hAnsi="Arial"/>
          <w:b w:val="false"/>
          <w:bCs w:val="false"/>
          <w:i w:val="false"/>
          <w:iCs w:val="false"/>
          <w:sz w:val="22"/>
          <w:szCs w:val="22"/>
        </w:rPr>
        <w:t xml:space="preserve">industrySectors, mentoringFocusAreas, skillsExpertiseTags, fluentLanguages.</w:t>
      </w:r>
    </w:p>
    <w:p>
      <w:pPr>
        <w:spacing w:after="120"/>
      </w:pPr>
      <w:r>
        <w:rPr>
          <w:rFonts w:ascii="Arial" w:cs="Arial" w:eastAsia="Arial" w:hAnsi="Arial"/>
          <w:b/>
          <w:bCs/>
          <w:i w:val="false"/>
          <w:iCs w:val="false"/>
          <w:color w:val="1F3864"/>
          <w:sz w:val="22"/>
          <w:szCs w:val="22"/>
        </w:rPr>
        <w:t xml:space="preserve">Mentor Status Panel (contactType has Mentor)</w:t>
      </w:r>
    </w:p>
    <w:p>
      <w:pPr>
        <w:spacing w:after="120"/>
      </w:pPr>
      <w:r>
        <w:rPr>
          <w:rFonts w:ascii="Arial" w:cs="Arial" w:eastAsia="Arial" w:hAnsi="Arial"/>
          <w:b w:val="false"/>
          <w:bCs w:val="false"/>
          <w:i w:val="false"/>
          <w:iCs w:val="false"/>
          <w:sz w:val="22"/>
          <w:szCs w:val="22"/>
        </w:rPr>
        <w:t xml:space="preserve">mentorStatus, acceptingNewClients, maximumClientCapacity, currentActiveClients, availableCapacity, isPrimaryMentor, isCoMentor, isSubjectMatterExpert.</w:t>
      </w:r>
    </w:p>
    <w:p>
      <w:pPr>
        <w:spacing w:after="120"/>
      </w:pPr>
      <w:r>
        <w:rPr>
          <w:rFonts w:ascii="Arial" w:cs="Arial" w:eastAsia="Arial" w:hAnsi="Arial"/>
          <w:b/>
          <w:bCs/>
          <w:i w:val="false"/>
          <w:iCs w:val="false"/>
          <w:color w:val="1F3864"/>
          <w:sz w:val="22"/>
          <w:szCs w:val="22"/>
        </w:rPr>
        <w:t xml:space="preserve">Mentor Onboarding Panel (contactType has Mentor)</w:t>
      </w:r>
    </w:p>
    <w:p>
      <w:pPr>
        <w:spacing w:after="120"/>
      </w:pPr>
      <w:r>
        <w:rPr>
          <w:rFonts w:ascii="Arial" w:cs="Arial" w:eastAsia="Arial" w:hAnsi="Arial"/>
          <w:b w:val="false"/>
          <w:bCs w:val="false"/>
          <w:i w:val="false"/>
          <w:iCs w:val="false"/>
          <w:sz w:val="22"/>
          <w:szCs w:val="22"/>
        </w:rPr>
        <w:t xml:space="preserve">ethicsAgreementAccepted, ethicsAgreementAcceptanceDateTime, backgroundCheckCompleted, backgroundCheckDate, felonyConvictionDisclosure, trainingCompleted, trainingCompletionDate, termsAndConditionsAccepted, termsAndConditionsAcceptanceDateTime, whyInterestedInMentoring.</w:t>
      </w:r>
    </w:p>
    <w:p>
      <w:pPr>
        <w:spacing w:after="120"/>
      </w:pPr>
      <w:r>
        <w:rPr>
          <w:rFonts w:ascii="Arial" w:cs="Arial" w:eastAsia="Arial" w:hAnsi="Arial"/>
          <w:b/>
          <w:bCs/>
          <w:i w:val="false"/>
          <w:iCs w:val="false"/>
          <w:color w:val="1F3864"/>
          <w:sz w:val="22"/>
          <w:szCs w:val="22"/>
        </w:rPr>
        <w:t xml:space="preserve">Mentor Dues Panel (contactType has Mentor)</w:t>
      </w:r>
    </w:p>
    <w:p>
      <w:pPr>
        <w:spacing w:after="120"/>
      </w:pPr>
      <w:r>
        <w:rPr>
          <w:rFonts w:ascii="Arial" w:cs="Arial" w:eastAsia="Arial" w:hAnsi="Arial"/>
          <w:b w:val="false"/>
          <w:bCs w:val="false"/>
          <w:i w:val="false"/>
          <w:iCs w:val="false"/>
          <w:sz w:val="22"/>
          <w:szCs w:val="22"/>
        </w:rPr>
        <w:t xml:space="preserve">duesStatus, duesPaymentDate, duesRenewalDate.</w:t>
      </w:r>
    </w:p>
    <w:p>
      <w:pPr>
        <w:spacing w:after="120"/>
      </w:pPr>
      <w:r>
        <w:rPr>
          <w:rFonts w:ascii="Arial" w:cs="Arial" w:eastAsia="Arial" w:hAnsi="Arial"/>
          <w:b/>
          <w:bCs/>
          <w:i w:val="false"/>
          <w:iCs w:val="false"/>
          <w:color w:val="1F3864"/>
          <w:sz w:val="22"/>
          <w:szCs w:val="22"/>
        </w:rPr>
        <w:t xml:space="preserve">Mentor Departure Panel (mentorStatus in [Resigned, Departed])</w:t>
      </w:r>
    </w:p>
    <w:p>
      <w:pPr>
        <w:spacing w:after="120"/>
      </w:pPr>
      <w:r>
        <w:rPr>
          <w:rFonts w:ascii="Arial" w:cs="Arial" w:eastAsia="Arial" w:hAnsi="Arial"/>
          <w:b w:val="false"/>
          <w:bCs w:val="false"/>
          <w:i w:val="false"/>
          <w:iCs w:val="false"/>
          <w:sz w:val="22"/>
          <w:szCs w:val="22"/>
        </w:rPr>
        <w:t xml:space="preserve">departureReason, departureDate.</w:t>
      </w:r>
    </w:p>
    <w:p>
      <w:pPr>
        <w:spacing w:after="120"/>
      </w:pPr>
      <w:r>
        <w:rPr>
          <w:rFonts w:ascii="Arial" w:cs="Arial" w:eastAsia="Arial" w:hAnsi="Arial"/>
          <w:b/>
          <w:bCs/>
          <w:i w:val="false"/>
          <w:iCs w:val="false"/>
          <w:color w:val="1F3864"/>
          <w:sz w:val="22"/>
          <w:szCs w:val="22"/>
        </w:rPr>
        <w:t xml:space="preserve">CBM Membership Panel (CBM internal types)</w:t>
      </w:r>
    </w:p>
    <w:p>
      <w:pPr>
        <w:spacing w:after="120"/>
      </w:pPr>
      <w:r>
        <w:rPr>
          <w:rFonts w:ascii="Arial" w:cs="Arial" w:eastAsia="Arial" w:hAnsi="Arial"/>
          <w:b w:val="false"/>
          <w:bCs w:val="false"/>
          <w:i w:val="false"/>
          <w:iCs w:val="false"/>
          <w:sz w:val="22"/>
          <w:szCs w:val="22"/>
        </w:rPr>
        <w:t xml:space="preserve">boardPosition.</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Calculated fields: </w:t>
      </w:r>
      <w:r>
        <w:rPr>
          <w:rFonts w:ascii="Arial" w:cs="Arial" w:eastAsia="Arial" w:hAnsi="Arial"/>
          <w:b w:val="false"/>
          <w:bCs w:val="false"/>
          <w:i w:val="false"/>
          <w:iCs w:val="false"/>
          <w:sz w:val="22"/>
          <w:szCs w:val="22"/>
        </w:rPr>
        <w:t xml:space="preserve">currentActiveClients is the count of Engagements where this Contact is the Assigned Mentor and Engagement Status is Active or Assigned. availableCapacity is maximumClientCapacity minus currentActiveClients. Both are system-calculated and read-only.</w:t>
      </w:r>
    </w:p>
    <w:p>
      <w:pPr>
        <w:spacing w:after="120"/>
      </w:pPr>
      <w:r>
        <w:rPr>
          <w:rFonts w:ascii="Arial" w:cs="Arial" w:eastAsia="Arial" w:hAnsi="Arial"/>
          <w:b/>
          <w:bCs/>
          <w:i w:val="false"/>
          <w:iCs w:val="false"/>
          <w:sz w:val="22"/>
          <w:szCs w:val="22"/>
        </w:rPr>
        <w:t xml:space="preserve">2. Field-level access control: </w:t>
      </w:r>
      <w:r>
        <w:rPr>
          <w:rFonts w:ascii="Arial" w:cs="Arial" w:eastAsia="Arial" w:hAnsi="Arial"/>
          <w:b w:val="false"/>
          <w:bCs w:val="false"/>
          <w:i w:val="false"/>
          <w:iCs w:val="false"/>
          <w:sz w:val="22"/>
          <w:szCs w:val="22"/>
        </w:rPr>
        <w:t xml:space="preserve">backgroundCheckCompleted, backgroundCheckDate, and felonyConvictionDisclosure are restricted to Mentor Administrator access only and hidden from the mentor’s own record view. duesStatus, duesPaymentDate, duesRenewalDate, departureReason, and departureDate are admin-only. ethicsAgreementAccepted is read-only for mentors.</w:t>
      </w:r>
    </w:p>
    <w:p>
      <w:pPr>
        <w:spacing w:after="120"/>
      </w:pPr>
      <w:r>
        <w:rPr>
          <w:rFonts w:ascii="Arial" w:cs="Arial" w:eastAsia="Arial" w:hAnsi="Arial"/>
          <w:b/>
          <w:bCs/>
          <w:i w:val="false"/>
          <w:iCs w:val="false"/>
          <w:sz w:val="22"/>
          <w:szCs w:val="22"/>
        </w:rPr>
        <w:t xml:space="preserve">3. System-populated fields: </w:t>
      </w:r>
      <w:r>
        <w:rPr>
          <w:rFonts w:ascii="Arial" w:cs="Arial" w:eastAsia="Arial" w:hAnsi="Arial"/>
          <w:b w:val="false"/>
          <w:bCs w:val="false"/>
          <w:i w:val="false"/>
          <w:iCs w:val="false"/>
          <w:sz w:val="22"/>
          <w:szCs w:val="22"/>
        </w:rPr>
        <w:t xml:space="preserve">termsAndConditionsAccepted and termsAndConditionsAcceptanceDateTime are populated from form submissions. trainingCompleted and trainingCompletionDate are populated via LMS integration but may also be manually set by the Mentor Administrator as a fallback. felonyConvictionDisclosure is populated from the application form. termsAndConditionsAccepted, termsAndConditionsAcceptanceDateTime, and felonyConvictionDisclosure should not be manually editable by end users.</w:t>
      </w:r>
    </w:p>
    <w:p>
      <w:pPr>
        <w:spacing w:after="120"/>
      </w:pPr>
      <w:r>
        <w:rPr>
          <w:rFonts w:ascii="Arial" w:cs="Arial" w:eastAsia="Arial" w:hAnsi="Arial"/>
          <w:b/>
          <w:bCs/>
          <w:i w:val="false"/>
          <w:iCs w:val="false"/>
          <w:sz w:val="22"/>
          <w:szCs w:val="22"/>
        </w:rPr>
        <w:t xml:space="preserve">4. Audited fields: </w:t>
      </w:r>
      <w:r>
        <w:rPr>
          <w:rFonts w:ascii="Arial" w:cs="Arial" w:eastAsia="Arial" w:hAnsi="Arial"/>
          <w:b w:val="false"/>
          <w:bCs w:val="false"/>
          <w:i w:val="false"/>
          <w:iCs w:val="false"/>
          <w:sz w:val="22"/>
          <w:szCs w:val="22"/>
        </w:rPr>
        <w:t xml:space="preserve">mentorStatus should be audited to maintain a complete transition history for compliance and reporting.</w:t>
      </w:r>
    </w:p>
    <w:p>
      <w:pPr>
        <w:spacing w:after="120"/>
      </w:pPr>
      <w:r>
        <w:rPr>
          <w:rFonts w:ascii="Arial" w:cs="Arial" w:eastAsia="Arial" w:hAnsi="Arial"/>
          <w:b/>
          <w:bCs/>
          <w:i w:val="false"/>
          <w:iCs w:val="false"/>
          <w:sz w:val="22"/>
          <w:szCs w:val="22"/>
        </w:rPr>
        <w:t xml:space="preserve">5. Multi-type contacts: </w:t>
      </w:r>
      <w:r>
        <w:rPr>
          <w:rFonts w:ascii="Arial" w:cs="Arial" w:eastAsia="Arial" w:hAnsi="Arial"/>
          <w:b w:val="false"/>
          <w:bCs w:val="false"/>
          <w:i w:val="false"/>
          <w:iCs w:val="false"/>
          <w:sz w:val="22"/>
          <w:szCs w:val="22"/>
        </w:rPr>
        <w:t xml:space="preserve">Because contactType is multiEnum, a Contact with multiple types sees the union of all type-specific fields. The layout should group fields by type panel so the UI remains organized when multiple types are active.</w:t>
      </w:r>
    </w:p>
    <w:p>
      <w:pPr>
        <w:spacing w:after="120"/>
      </w:pPr>
      <w:r>
        <w:rPr>
          <w:rFonts w:ascii="Arial" w:cs="Arial" w:eastAsia="Arial" w:hAnsi="Arial"/>
          <w:b/>
          <w:bCs/>
          <w:i w:val="false"/>
          <w:iCs w:val="false"/>
          <w:sz w:val="22"/>
          <w:szCs w:val="22"/>
        </w:rPr>
        <w:t xml:space="preserve">6. Native email handling: </w:t>
      </w:r>
      <w:r>
        <w:rPr>
          <w:rFonts w:ascii="Arial" w:cs="Arial" w:eastAsia="Arial" w:hAnsi="Arial"/>
          <w:b w:val="false"/>
          <w:bCs w:val="false"/>
          <w:i w:val="false"/>
          <w:iCs w:val="false"/>
          <w:sz w:val="22"/>
          <w:szCs w:val="22"/>
        </w:rPr>
        <w:t xml:space="preserve">Mentor contacts use personalEmail and cbmEmailAddress as separate custom fields rather than the native multi-email capability. The native emailAddress field remains available but is not the primary mechanism for Mentor email management. For all other contact types, the native emailAddress field is the primary email field.</w:t>
      </w:r>
    </w:p>
    <w:p>
      <w:pPr>
        <w:spacing w:after="120"/>
      </w:pPr>
      <w:r>
        <w:rPr>
          <w:rFonts w:ascii="Arial" w:cs="Arial" w:eastAsia="Arial" w:hAnsi="Arial"/>
          <w:b/>
          <w:bCs/>
          <w:i w:val="false"/>
          <w:iCs w:val="false"/>
          <w:sz w:val="22"/>
          <w:szCs w:val="22"/>
        </w:rPr>
        <w:t xml:space="preserve">7. Product name restriction: </w:t>
      </w:r>
      <w:r>
        <w:rPr>
          <w:rFonts w:ascii="Arial" w:cs="Arial" w:eastAsia="Arial" w:hAnsi="Arial"/>
          <w:b w:val="false"/>
          <w:bCs w:val="false"/>
          <w:i w:val="false"/>
          <w:iCs w:val="false"/>
          <w:sz w:val="22"/>
          <w:szCs w:val="22"/>
        </w:rPr>
        <w:t xml:space="preserve">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lifecycle field not yet defined. Contact type Client needs a lifecycle field analogous to mentorStatus. The lifecycle stages and field definition will be established during CR domain process definition or MN-INTAKE Entity PRD work. Carried forward from EI-ISS-004.</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Partner lifecycle field not yet defined. The Master PRD describes partner status tracking (prospect through active). The lifecycle stages and field definition will be established during CR domain process definition. Carried forward from EI-ISS-005.</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Donor lifecycle field not yet defined. The Master PRD describes donor/sponsor pipeline stages (Prospect, Contacted, In Discussion, Committed, Active, Lapsed, Closed). The lifecycle stages and field definition will be established during FU domain process definition. Carried forward from EI-ISS-006.</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Incomplete domain coverage for Contact entity. The MR, CR, and FU domains have only summary-level data. This Entity PRD will require updates when those domain process documents are completed. Additional type-specific custom fields, relationships, and dynamic logic rules are expected. Carried forward from EI-ISS-008.</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Focus Areas: complete list of allowed values not defined. Must align between the Engagement-level field and the Mentor Contact field. Carried forward from MN-INTAKE-ISS-001.</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Skills and Expertise Tags: values not yet defined by CBM leadership. Carried forward from MR-ISS-001.</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CON-ISS-007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Fluent Languages: values not yet defined by CBM leadership. Carried forward from MR-ISS-002.</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CON-ISS-008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 Did You Hear About CBM: dropdown values not yet defined by CBM leadership. Carried forward from MR-ISS-003.</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Primary Contact is a bool on the Contact-to-Account relationship, not a field on the Contact entity. A single Contact can be the primary contact for one Account but not for another. Implementation details defined in the Account Entity PRD.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title field treated as shared across all contact types. No dynamic logic visibility required. Maps to Professional Title from the MR domain.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preferredName and linkedInProfile are shared fields, not type-specific. Applicable to all contact types.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email addresses implemented as two separate custom fields (personalEmail, cbmEmailAddress) rather than using the native multi-email capability. The distinction matters operationally for onboarding vs. mentoring communications and departure cleanup.</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termsAndConditionsAccepted and termsAndConditionsAcceptanceDateTime are shared fields (not Mentor-specific) for portal readiness. Currently populated only for Mentors; will be used for all contact types when a client portal is implemented.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howDidYouHearAboutCbm is shared across all contact types. Both MR and CR domains reference recording how contacts heard about CBM. A single shared field supports unified referral channel reporting.</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boardPosition is visible for CBM organizational member types (Mentor, Member, Administrator, Presenter) and hidden for external relationship types (Client, Partner, Donor). Board membership requires being a CBM organizational member.</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CON-DEC-008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 Status has ten values: Prospect, Submitted, In Review, Provisional, Active, Paused, Inactive, Resigned, Departed, Declined. Prospect was added to the nine values from the MN Domain PRD based on Entity Inventory confirmation (EI-ISS-003).</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Client Zip Code maps to native addressPostalCode. The intake form collects only zip code, but the full native address composite is available for any contact type. No custom address field needed.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Contact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Contact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2026-04-02T03:43:16.544Z</dcterms:created>
  <dcterms:modified xsi:type="dcterms:W3CDTF">2026-04-02T03:43:16.545Z</dcterms:modified>
</cp:coreProperties>
</file>

<file path=docProps/custom.xml><?xml version="1.0" encoding="utf-8"?>
<Properties xmlns="http://schemas.openxmlformats.org/officeDocument/2006/custom-properties" xmlns:vt="http://schemas.openxmlformats.org/officeDocument/2006/docPropsVTypes"/>
</file>