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Cleveland Business Mentors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Section PRD: Volunteer Coordination, Donor Management,
Document Sharing, Reporting &amp; Security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0.1  |  Sections 9–13  |  2025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document covers five technology domains: Volunteer Coordination (Section 9), Donor &amp; Fundraising Management (Section 10), Document &amp; Resource Sharing (Section 11), Reporting &amp; Impact Measurement (Section 12), and Security &amp; Data Privacy (Section 13).</w:t>
      </w:r>
    </w:p>
    <w:p>
      <w:pPr>
        <w:spacing w:after="120"/>
      </w:pPr>
      <w:r>
        <w:t xml:space="preserve">A recurring theme across these sections is that EspoCRM, already selected as CBM's CRM platform, handles the majority of requirements natively. Additional tools are introduced only where EspoCRM is insufficient.</w:t>
      </w:r>
    </w:p>
    <w:p>
      <w:r>
        <w:t xml:space="preserve"/>
      </w:r>
    </w:p>
    <w:p>
      <w:pPr>
        <w:pStyle w:val="Heading1"/>
      </w:pPr>
      <w:r>
        <w:t xml:space="preserve">2. Volunteer Coordination (Section 9)</w:t>
      </w:r>
    </w:p>
    <w:p>
      <w:pPr>
        <w:pStyle w:val="Heading2"/>
      </w:pPr>
      <w:r>
        <w:t xml:space="preserve">2.1 Overview</w:t>
      </w:r>
    </w:p>
    <w:p>
      <w:pPr>
        <w:spacing w:after="120"/>
      </w:pPr>
      <w:r>
        <w:t xml:space="preserve">Volunteer coordination is largely handled by EspoCRM (profiles, roles, capacity, matching) and Moodle (onboarding, training). This section addresses the remaining coordination needs: dues collection, volunteer KPI tracking, and recognition.</w:t>
      </w:r>
    </w:p>
    <w:p>
      <w:r>
        <w:t xml:space="preserve"/>
      </w:r>
    </w:p>
    <w:p>
      <w:pPr>
        <w:pStyle w:val="Heading2"/>
      </w:pPr>
      <w:r>
        <w:t xml:space="preserve">2.2 Dues Collection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✓ DECIDED: Stripe (online) + manual EspoCRM entry (check/cash)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Frequency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Payment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link generated from EspoCRM — mentor pays via card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/ Cash Payment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manually marks paid in EspoCRM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Rate for Dues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rate 2.9% + $0.30 per transaction. Note: membership dues are explicitly excluded from Stripe's nonprofit donation discount rate of 2.2% + $0.30.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Dues Waiver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marks discreetly in EspoCRM — no public visibility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Unpaid Dues Alert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workflow flags unpaid dues after configurable grace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Nonprofit Donation Rate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to charitable donations only — will be relevant in Phase 2 when online donations are enabled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Dues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Admin generates annual dues invoice in EspoCRM for each active mentor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Mentor receives email with Stripe payment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Mentor pays online — Stripe webhook confirms payment, EspoCRM record updated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Alternatively: mentor pays by check or cash — admin manually marks paid in EspoCRM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Grace period expires — EspoCRM workflow flags unpaid dues to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Admin follows up or processes waiver discreetly</w:t>
      </w:r>
    </w:p>
    <w:p>
      <w:r>
        <w:t xml:space="preserve"/>
      </w:r>
    </w:p>
    <w:p>
      <w:pPr>
        <w:pStyle w:val="Heading2"/>
      </w:pPr>
      <w:r>
        <w:t xml:space="preserve">2.4 Volunteer KPI Tracking</w:t>
      </w:r>
    </w:p>
    <w:p>
      <w:pPr>
        <w:spacing w:after="120"/>
      </w:pPr>
      <w:r>
        <w:t xml:space="preserve">Volunteer KPIs are tracked within EspoCRM and serve two purposes: internal recognition of mentor contributions, and external reporting to funders and grant makers to demonstrate organizational impact.</w:t>
      </w:r>
    </w:p>
    <w:p>
      <w:r>
        <w:t xml:space="preserve"/>
      </w:r>
    </w:p>
    <w:p>
      <w:pPr>
        <w:pStyle w:val="Heading3"/>
      </w:pPr>
      <w:r>
        <w:t xml:space="preserve">Activity Metrics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Total clients served — lifetime and per year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Active clients currently — system-calculated from open engagements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Total mentoring sessions conducted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Total mentoring hours contributed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Workshop presentations delivered</w:t>
      </w:r>
    </w:p>
    <w:p>
      <w:r>
        <w:t xml:space="preserve"/>
      </w:r>
    </w:p>
    <w:p>
      <w:pPr>
        <w:pStyle w:val="Heading3"/>
      </w:pPr>
      <w:r>
        <w:t xml:space="preserve">Outcome Metrics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Client NPS scores received by mentor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Businesses launched by clients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Jobs created by clients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Revenue milestones achieved by clients</w:t>
      </w:r>
    </w:p>
    <w:p>
      <w:r>
        <w:t xml:space="preserve"/>
      </w:r>
    </w:p>
    <w:p>
      <w:pPr>
        <w:pStyle w:val="Heading3"/>
      </w:pPr>
      <w:r>
        <w:t xml:space="preserve">Tenure and Commitment Metrics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Years of service with CBM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Consecutive years active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Membership dues status — current / waived / unpaid</w:t>
      </w:r>
    </w:p>
    <w:p>
      <w:r>
        <w:t xml:space="preserve"/>
      </w:r>
    </w:p>
    <w:p>
      <w:pPr>
        <w:pStyle w:val="Heading3"/>
      </w:pPr>
      <w:r>
        <w:t xml:space="preserve">Recognition Triggers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First client engagement completed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 / 25 / 50 clients served milestones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 / 3 / 5 year service anniversaries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All KPI data is system-calculated in EspoCRM from session logs, engagement records, and NPS data already captured in the platform. No manual data entry required for metrics.</w:t>
      </w:r>
    </w:p>
    <w:p>
      <w:r>
        <w:t xml:space="preserve"/>
      </w:r>
    </w:p>
    <w:p>
      <w:pPr>
        <w:pStyle w:val="Heading2"/>
      </w:pPr>
      <w:r>
        <w:t xml:space="preserve">2.5 Background Checks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✓ DECIDED: Not required — no background check process needed</w:t>
      </w:r>
    </w:p>
    <w:p>
      <w:r>
        <w:t xml:space="preserve"/>
      </w:r>
    </w:p>
    <w:p>
      <w:pPr>
        <w:pStyle w:val="Heading2"/>
      </w:pPr>
      <w:r>
        <w:t xml:space="preserve">2.6 Open Questions — Volunteer Coordination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○ OPEN: Stripe EspoCRM integration — confirm webhook configuration for automatic payment confirmation.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○ OPEN: Dues amount — board to determine annual dues level before system configuration.</w:t>
      </w:r>
    </w:p>
    <w:p>
      <w:r>
        <w:t xml:space="preserve"/>
      </w:r>
    </w:p>
    <w:p>
      <w:pPr>
        <w:pStyle w:val="Heading1"/>
      </w:pPr>
      <w:r>
        <w:t xml:space="preserve">3. Donor &amp; Fundraising Management (Section 10)</w:t>
      </w:r>
    </w:p>
    <w:p>
      <w:pPr>
        <w:pStyle w:val="Heading2"/>
      </w:pPr>
      <w:r>
        <w:t xml:space="preserve">3.1 Platform Decision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✓ DECIDED: EspoCRM native — no dedicated fundraising platform needed for Year 1</w:t>
      </w:r>
    </w:p>
    <w:p>
      <w:r>
        <w:t xml:space="preserve"/>
      </w:r>
    </w:p>
    <w:p>
      <w:pPr>
        <w:spacing w:after="120"/>
      </w:pPr>
      <w:r>
        <w:t xml:space="preserve">CBM's Year 1 fundraising is simple — a small number of individual donors, one or two foundation grants, and basic acknowledgment. EspoCRM handles this natively with modest customization. A dedicated fundraising platform would add unnecessary complexity and cost at this stage.</w:t>
      </w:r>
    </w:p>
    <w:p>
      <w:r>
        <w:t xml:space="preserve"/>
      </w:r>
    </w:p>
    <w:p>
      <w:pPr>
        <w:pStyle w:val="Heading2"/>
      </w:pPr>
      <w:r>
        <w:t xml:space="preserve">3.2 Donor Management in EspoCRM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contact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Donors added as contact type in EspoCRM — individual and organizational/foundation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fields: gift amount, date, type (cash, check, online), campaign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Pledge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field: pledge amount, pledge date, fulfillment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gift notation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field on donor record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Acknowledgment letters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from EspoCRM templates — admin sends via Google Workspace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receipts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from EspoCRM — required for 501(c)(3) gifts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Year-end giving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report filtered by donor and date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giving history for 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dashboard and exportable report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Grant Management in EspoCRM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opportunity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entity in EspoCRM: funder, amount requested, deadline,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lifecycle stages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→ Applied → Awarded → Reporting Due → Closed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deadline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workflow automation — admin notified before reporting deadlines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Funder correspondence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to grant record in EspoCRM — email threading captures communications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pipeline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dashboard view for admin and board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Online Donations — Phase 2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◎ DEFERRED: Online donation capability via Stripe deferred to Phase 2. When implemented, Stripe nonprofit donation rate of 2.2% + $0.30 applies to charitable gifts. A simple Stripe-powered donation form will be added to the website.</w:t>
      </w:r>
    </w:p>
    <w:p>
      <w:r>
        <w:t xml:space="preserve"/>
      </w:r>
    </w:p>
    <w:p>
      <w:pPr>
        <w:pStyle w:val="Heading2"/>
      </w:pPr>
      <w:r>
        <w:t xml:space="preserve">3.5 Revisit Trigger</w:t>
      </w:r>
    </w:p>
    <w:p>
      <w:pPr>
        <w:spacing w:after="120"/>
      </w:pPr>
      <w:r>
        <w:t xml:space="preserve">If donor base grows significantly, grant portfolio becomes complex, or board requires more sophisticated fundraising reporting — evaluate CiviCRM (FOSS) or a dedicated grant management tool at that point.</w:t>
      </w:r>
    </w:p>
    <w:p>
      <w:r>
        <w:t xml:space="preserve"/>
      </w:r>
    </w:p>
    <w:p>
      <w:pPr>
        <w:pStyle w:val="Heading1"/>
      </w:pPr>
      <w:r>
        <w:t xml:space="preserve">4. Document &amp; Resource Sharing (Section 11)</w:t>
      </w:r>
    </w:p>
    <w:p>
      <w:pPr>
        <w:pStyle w:val="Heading2"/>
      </w:pPr>
      <w:r>
        <w:t xml:space="preserve">4.1 Platform Decision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✓ DECIDED: Google Drive via Google Workspace for Nonprofits — no additional tool needed</w:t>
      </w:r>
    </w:p>
    <w:p>
      <w:r>
        <w:t xml:space="preserve"/>
      </w:r>
    </w:p>
    <w:p>
      <w:pPr>
        <w:spacing w:after="120"/>
      </w:pPr>
      <w:r>
        <w:t xml:space="preserve">Google Drive is already included in Google Workspace for Nonprofits at no additional cost. It provides 100TB of shared storage, shared drives with folder-level permissions, and is familiar to virtually all users including senior mentors. No additional document management platform is required.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Moodle handles structured course content and learning resources. Google Drive handles working documents and reference materials. The two complement each other without overlap.</w:t>
      </w:r>
    </w:p>
    <w:p>
      <w:r>
        <w:t xml:space="preserve"/>
      </w:r>
    </w:p>
    <w:p>
      <w:pPr>
        <w:pStyle w:val="Heading2"/>
      </w:pPr>
      <w:r>
        <w:t xml:space="preserve">4.2 Drive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Drive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1 — Internal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and Board only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minutes, governance documents, financial records, budgets, policies and procedures, grant applications, funder reports, 990s, compliance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2 — Mentor Resources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mentors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Mentoring templates and guides, workshop presentation materials, best practice documents, CBM process guides (EspoCRM, scheduling, SME requests, Google Meet how-tos)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3 — Client Resources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managed — shared selectively with clients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plan templates, legal and regulatory checklists, financial planning guides, resource referral lists, Northeast Ohio business resource directory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Reporting &amp; Impact Measurement (Section 12)</w:t>
      </w:r>
    </w:p>
    <w:p>
      <w:pPr>
        <w:pStyle w:val="Heading2"/>
      </w:pPr>
      <w:r>
        <w:t xml:space="preserve">5.1 Reporting Stack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✓ DECIDED: EspoCRM native dashboards + Google Workspace (Slides, Docs, Sheets) — no dedicated BI tool in Year 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2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dashboard — active engagements, mentor KPIs, NPS scores, workshop attendance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 dashboard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/ on demand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board report — program metrics, financial summary, volunteer KPIs, donor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data → Google Slides/Docs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Funder impact report — client outcomes, mentor activity, geographic reach, milestones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Funders / Grant Makers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data → Google Docs/Sheets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grant reporting schedule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KPI report — individual mentor contributions for recognition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Mentors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/ Annual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Year-end impact summary — high-level numbers for public communications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/ Donors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data → Google Slides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Key Impact Metrics</w:t>
      </w:r>
    </w:p>
    <w:p>
      <w:pPr>
        <w:spacing w:after="120"/>
      </w:pPr>
      <w:r>
        <w:t xml:space="preserve">The following metrics are tracked in EspoCRM and form the basis of all reporting:</w:t>
      </w:r>
    </w:p>
    <w:p>
      <w:r>
        <w:t xml:space="preserve"/>
      </w:r>
    </w:p>
    <w:p>
      <w:pPr>
        <w:pStyle w:val="Heading3"/>
      </w:pPr>
      <w:r>
        <w:t xml:space="preserve">Program Metrics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Total clients served — cumulative and per period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Active engagements — current snapshot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Completed engagements — with outcome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Average engagement duration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Client NPS score — aggregate and trend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Businesses launched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Jobs created</w:t>
      </w:r>
    </w:p>
    <w:p>
      <w:r>
        <w:t xml:space="preserve"/>
      </w:r>
    </w:p>
    <w:p>
      <w:pPr>
        <w:pStyle w:val="Heading3"/>
      </w:pPr>
      <w:r>
        <w:t xml:space="preserve">Volunteer Metrics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Total active mentors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Total mentoring hours contributed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Mentor retention rate year over year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SME engagements completed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Workshop sessions delivered</w:t>
      </w:r>
    </w:p>
    <w:p>
      <w:r>
        <w:t xml:space="preserve"/>
      </w:r>
    </w:p>
    <w:p>
      <w:pPr>
        <w:pStyle w:val="Heading3"/>
      </w:pPr>
      <w:r>
        <w:t xml:space="preserve">Organizational Metrics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Workshop attendance — virtual and in-person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Moodle course completions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Geographic reach — client zip codes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Donor count and total giving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Grant pipeline value</w:t>
      </w:r>
    </w:p>
    <w:p>
      <w:r>
        <w:t xml:space="preserve"/>
      </w:r>
    </w:p>
    <w:p>
      <w:pPr>
        <w:pStyle w:val="Heading2"/>
      </w:pPr>
      <w:r>
        <w:t xml:space="preserve">5.3 Revisit Trigger</w:t>
      </w:r>
    </w:p>
    <w:p>
      <w:pPr>
        <w:spacing w:after="120"/>
      </w:pPr>
      <w:r>
        <w:t xml:space="preserve">If funder reporting requirements exceed EspoCRM native capability, or board requires visual dashboards beyond what Google Slides supports — evaluate Metabase (FOSS, self-hosted on AWS) as upgrade path. Metabase connects directly to EspoCRM database and generates interactive dashboards with no custom code.</w:t>
      </w:r>
    </w:p>
    <w:p>
      <w:r>
        <w:t xml:space="preserve"/>
      </w:r>
    </w:p>
    <w:p>
      <w:pPr>
        <w:pStyle w:val="Heading1"/>
      </w:pPr>
      <w:r>
        <w:t xml:space="preserve">6. Security &amp; Data Privacy (Section 13)</w:t>
      </w:r>
    </w:p>
    <w:p>
      <w:pPr>
        <w:pStyle w:val="Heading2"/>
      </w:pPr>
      <w:r>
        <w:t xml:space="preserve">6.1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Confidential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personal and business information shared in confidence during mentoring engagements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notes, financial disclosures, business plans, personal challenges discussed in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and organizational data with restricted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profiles, ethics sign-off records, dues payment history, donor records, grant applications, board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data accessible to authorized staff and volunteers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attendance, Moodle completion records, organizational policies, mentor resource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intentionally shared with the 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content, published impact reports, workshop announcements, CBM mission and program descriptions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Role-Based Access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18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EspoCRM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Flarum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Drive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— all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instances — 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drives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Member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— reports and dashboards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1 — Internal Operations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Mentor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clients only — no visibility into other engagements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training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1 — Mentor Community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2 — Mentor Resources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Co-Mentor / SME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to assigned engagement only — access revoked at conclusion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training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1 — Mentor Community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2 — Mentor Resources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CRM access — email interaction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learning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2 — Client Community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resources shared by admin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Authentication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Multi-factor authentication (MFA) required for all admin and board accounts across all systems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MFA strongly encouraged for all mentor accounts — enforced via Google Workspace admin policy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Strong password policy enforced — minimum 12 characters, complexity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Google Workspace SSO used where possible to reduce credential sprawl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Deprovisioning within 24 hours of mentor departure — mandatory offboarding checklist</w:t>
      </w:r>
    </w:p>
    <w:p>
      <w:r>
        <w:t xml:space="preserve"/>
      </w:r>
    </w:p>
    <w:p>
      <w:pPr>
        <w:pStyle w:val="Heading2"/>
      </w:pPr>
      <w:r>
        <w:t xml:space="preserve">6.4 Mentor Offboarding Checklist</w:t>
      </w:r>
    </w:p>
    <w:p>
      <w:pPr>
        <w:spacing w:after="120"/>
      </w:pPr>
      <w:r>
        <w:t xml:space="preserve">When a mentor departs CBM — voluntarily or otherwise — admin completes the following checklist within 24 hours. Checklist stored in Google Drive — Internal Operations.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profile — do not delete (records retained per retention schedule). Reassign active clients to another mentor.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account immediately. Transfer Drive files to admin. Delete account after 30-day hold period.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account — completion records retained.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Flarum Instance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account.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Cal.com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account and scheduling links.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revoked automatically via Google Workspace account suspension.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Jitsi Meet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individual accounts — no action required.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For involuntary departures, board president is notified before offboarding is initiated.</w:t>
      </w:r>
    </w:p>
    <w:p>
      <w:r>
        <w:t xml:space="preserve"/>
      </w:r>
    </w:p>
    <w:p>
      <w:pPr>
        <w:pStyle w:val="Heading2"/>
      </w:pPr>
      <w:r>
        <w:t xml:space="preserve">6.5 Data Retention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documents (bylaws, IRS determination, Form 1023)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 requirement — must be available for public inspection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990 tax returns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 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meeting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best practice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audit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best practice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records, bank statements, tax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 standard for tax-related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records and funder correspondence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nonprofit practice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gift records and Stripe 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record standard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engagement records and session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 after engagement close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nonprofit practice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/ mentor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 after separation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nonprofit practice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Ethics sign-off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 after separation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and legal protection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attendance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years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nonprofit practice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correspondence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years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nonprofit practice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Ohio state law may impose additional or different requirements. Verify with Ohio-licensed legal counsel before finalizing and adopting this retention schedule as official policy. IRS Form 990 asks whether the nonprofit has a written retention policy — this schedule should be formally adopted by the board.</w:t>
      </w:r>
    </w:p>
    <w:p>
      <w:r>
        <w:t xml:space="preserve"/>
      </w:r>
    </w:p>
    <w:p>
      <w:pPr>
        <w:pStyle w:val="Heading2"/>
      </w:pPr>
      <w:r>
        <w:t xml:space="preserve">6.6 Backup &amp; Recovery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 automated snapshot + monthly export to separate AWS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snapshots / Monthly offsite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snapshots / 12 months offsite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Moodle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 automated snapshot + monthly export to separate AWS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snapshots / Monthly offsite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snapshots / 12 months offsite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instances (all self-hosted apps)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automated snapshots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buckets (website, media)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versioning enabled on all buckets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versioning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versions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native versioning + admin 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versioning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Google Workspace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by nature — admin maintains local clone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each push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Recovery Time Objective (RTO): 24 hours — target to restore any service within 24 hours of failure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Recovery Point Objective (RPO): 24 hours — maximum acceptable data loss equals one day of activity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Annual backup restoration test — admin performs test restoration to verify backup integrity</w:t>
      </w:r>
    </w:p>
    <w:p>
      <w:r>
        <w:t xml:space="preserve"/>
      </w:r>
    </w:p>
    <w:p>
      <w:pPr>
        <w:pStyle w:val="Heading2"/>
      </w:pPr>
      <w:r>
        <w:t xml:space="preserve">6.7 Incident Response Process</w:t>
      </w:r>
    </w:p>
    <w:p>
      <w:pPr>
        <w:spacing w:after="120"/>
      </w:pPr>
      <w:r>
        <w:t xml:space="preserve">In the event of a suspected or confirmed data breach involving CBM systems: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DETECT — Admin or automated system alert identifies potential unauthorized access or data breach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CONTAIN — Affected systems isolated immediately. All passwords for affected systems reset. Board president notified immediately upon breach discovery.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ASSESS — Determine what data was accessed, which individuals are affected, and how the breach occurred. Engage legal counsel if client data is involved.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NOTIFY — Ohio law requires notification to affected individuals within 45 days of discovery. If more than 1,000 Ohio residents are affected, Ohio Attorney General must also be notified.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REMEDIATE — Patch the vulnerability. Restore from backup if data was lost or corrupted. Document the full incident timeline and actions taken.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REVIEW — Post-incident review within 30 days. Update security policies and procedures based on findings. Report to board.</w:t>
      </w:r>
    </w:p>
    <w:p>
      <w:r>
        <w:t xml:space="preserve"/>
      </w:r>
    </w:p>
    <w:p>
      <w:pPr>
        <w:pStyle w:val="Heading2"/>
      </w:pPr>
      <w:r>
        <w:t xml:space="preserve">6.8 AWS Security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IAM — principle of least privilege applied to all AWS accounts and service roles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MFA required on all AWS root and admin IAM accounts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S3 buckets — public access blocked by default; website bucket is the only intentionally public resource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CloudTrail enabled — all AWS API activity logged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AWS billing alerts configured — unusual spend triggers immediate admin notification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Security groups — all EC2 instances restricted to minimum required ports</w:t>
      </w:r>
    </w:p>
    <w:p>
      <w:r>
        <w:t xml:space="preserve"/>
      </w:r>
    </w:p>
    <w:p>
      <w:pPr>
        <w:pStyle w:val="Heading2"/>
      </w:pPr>
      <w:r>
        <w:t xml:space="preserve">6.9 Open Questions — Security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○ OPEN: Formal board adoption of data retention policy — schedule for board vote before operations begin.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○ OPEN: Ohio legal counsel review — verify retention schedule against Ohio state law requirements.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○ OPEN: Privacy policy — draft public-facing privacy policy for website before launch.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○ OPEN: Annual security review cadence — establish schedule for reviewing and updating security policies.</w:t>
      </w:r>
    </w:p>
    <w:p>
      <w:r>
        <w:t xml:space="preserve"/>
      </w:r>
    </w:p>
    <w:p>
      <w:pPr>
        <w:pStyle w:val="Heading1"/>
      </w:pPr>
      <w: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 Covered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— Volunteer Coordination, 10 — Donor Management, 11 — Document Sharing, 12 — Reporting, 13 — Security &amp; Data Privacy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Decisions Made — Implementation Details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review and adoption of data retention policy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 — 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Cleveland Business Mentors  |  </w:t>
    </w:r>
    <w:r>
      <w:rPr>
        <w:rFonts w:ascii="Arial" w:cs="Arial" w:eastAsia="Arial" w:hAnsi="Arial"/>
        <w:color w:val="595959"/>
        <w:sz w:val="18"/>
        <w:szCs w:val="18"/>
      </w:rPr>
      <w:t xml:space="preserve">Section PRD: Volunteer, Donor, Documents, Reporting &amp;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2026-03-06T06:10:55.434Z</dcterms:created>
  <dcterms:modified xsi:type="dcterms:W3CDTF">2026-03-06T06:10:55.435Z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