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04-02-26 21:00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should always be accompanied by a note explaining the change.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geographic territory or community the partner primarily serves — for example, City of Cleveland, Cuyahoga County, Greater Akron.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Format (free text vs. controlled list) is an open issue — see ACT-ISS-004.</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 xml:space="preserve">funderType, funderStatus, funderLifetimeGiving, funderNotes.</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not yet defined. The Client account type does not have a lifecycle status field analogous to partnerStatus or funderStatus. The MN domain manages lifecycle at the Engagement level, not the Account level. Whether a client-level lifecycle field is needed will be determined during CR domain process definition. Carried forward from EI-ISS-007.</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The CR and FU domains have only summary-level data from legacy Domain PRDs. This Entity PRD will require updates when those domain process documents are completed under the new document production process.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Service Area field format: free text vs. controlled list of Northeast Ohio geographies has not been decided. Carried forward from CR-ISS-002.</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