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1.9</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05-05-26 16:04</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Agriculture, Forestry, Fishing and Hunting; Mining, Quarrying, and Oil and Gas Extraction; Utilities; Construction; Manufacturing; Wholesale Trade; Retail Trade; Transportation and Warehousing; Information; Finance and Insurance; Real Estate and Rental and Leasing; Professional, Scientific, and Technical Services; Management of Companies and Enterprises; Administrative and Support and Waste Management; Educational Services; Health Care and Social Assistance; Arts, Entertainment, and Recreation; Accommodation and Food Services; Other Services (except Public Administration); Public Administration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20 standard NAICS two-digit sector titles explicitly enumerated per MR-Y9-EXC-001. This field is an enum (single-select) on Account; the corresponding Contact.industrySectors field is a multiEnum (multi-select).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r>
        <w:tc>
          <w:tcPr>
            <w:tcW w:type="dxa" w:w="2200"/>
          </w:tcPr>
          <w:p>
            <w:r>
              <w:t>applicantSinceTimestamp</w:t>
            </w:r>
          </w:p>
        </w:tc>
        <w:tc>
          <w:tcPr>
            <w:tcW w:type="dxa" w:w="1100"/>
          </w:tcPr>
          <w:p>
            <w:r>
              <w:t>datetime</w:t>
            </w:r>
          </w:p>
        </w:tc>
        <w:tc>
          <w:tcPr>
            <w:tcW w:type="dxa" w:w="800"/>
          </w:tcPr>
          <w:p>
            <w:r>
              <w:t>No</w:t>
            </w:r>
          </w:p>
        </w:tc>
        <w:tc>
          <w:tcPr>
            <w:tcW w:type="dxa" w:w="2400"/>
          </w:tcPr>
          <w:p>
            <w:r>
              <w:t>—</w:t>
            </w:r>
          </w:p>
        </w:tc>
        <w:tc>
          <w:tcPr>
            <w:tcW w:type="dxa" w:w="1000"/>
          </w:tcPr>
          <w:p>
            <w:r>
              <w:t>— (system-populated by MN-INTAKE)</w:t>
            </w:r>
          </w:p>
        </w:tc>
        <w:tc>
          <w:tcPr>
            <w:tcW w:type="dxa" w:w="1860"/>
          </w:tcPr>
          <w:p>
            <w:r>
              <w:t>CR-EVENTS-CONVERT-DAT-025</w:t>
            </w:r>
          </w:p>
        </w:tc>
      </w:tr>
      <w:tr>
        <w:tc>
          <w:tcPr>
            <w:tcW w:type="dxa" w:w="9360"/>
            <w:gridSpan w:val="6"/>
          </w:tcPr>
          <w:p>
            <w:r>
              <w:t>Timestamp recording when this Account’s clientStatus first transitioned to Applicant. System-populated by MN-INTAKE (REQ-011, current in MN-INTAKE v2.5). The “if currently null” guard ensures the timestamp records the first time the account reached Applicant status, not subsequent re-applications. Used by CR-EVENTS-CONVERT as the application-side anchor for conversion window calculation. Source: CR-EVENTS-CONVERT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zip codes from master list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hAnsi="Arial"/>
                <w:b w:val="0"/>
                <w:color w:val="888888"/>
                <w:sz w:val="20"/>
              </w:rPr>
              <w:t xml:space="preserve">The geographic territory the organization primarily serves or funds, expressed as a list of zip codes. Used by Partner organizations to record their service area and by Donor/Sponsor organizations to record their funding territory for territory-based attribution reporting. </w:t>
            </w:r>
            <w:r>
              <w:rPr>
                <w:rFonts w:ascii="Arial" w:hAnsi="Arial"/>
                <w:b/>
                <w:color w:val="888888"/>
                <w:sz w:val="20"/>
              </w:rPr>
              <w:t xml:space="preserve">Domains: </w:t>
            </w:r>
            <w:r>
              <w:rPr>
                <w:rFonts w:ascii="Arial" w:hAnsi="Arial"/>
                <w:b w:val="0"/>
                <w:color w:val="888888"/>
                <w:sz w:val="20"/>
              </w:rPr>
              <w:t xml:space="preserve">CR, FU. </w:t>
            </w:r>
            <w:r>
              <w:rPr>
                <w:rFonts w:ascii="Arial" w:hAnsi="Arial"/>
                <w:b/>
                <w:color w:val="888888"/>
                <w:sz w:val="20"/>
              </w:rPr>
              <w:t xml:space="preserve">Visibility: </w:t>
            </w:r>
            <w:r>
              <w:rPr>
                <w:rFonts w:ascii="Arial" w:hAnsi="Arial"/>
                <w:b w:val="0"/>
                <w:color w:val="888888"/>
                <w:sz w:val="20"/>
              </w:rPr>
              <w:t xml:space="preserve">accountType has Partner OR accountType has Donor/Sponsor. </w:t>
            </w:r>
            <w:r>
              <w:rPr>
                <w:rFonts w:ascii="Arial" w:hAnsi="Arial"/>
                <w:b/>
                <w:color w:val="888888"/>
                <w:sz w:val="20"/>
              </w:rPr>
              <w:t xml:space="preserve">Implementation: </w:t>
            </w:r>
            <w:r>
              <w:rPr>
                <w:rFonts w:ascii="Arial" w:hAnsi="Arial"/>
                <w:b w:val="0"/>
                <w:color w:val="888888"/>
                <w:sz w:val="20"/>
              </w:rPr>
              <w:t>zip code values are queryable for set-membership against Contact addressPostalCode to support territory-based attribution. The Northeast Ohio zip code master list is defined during implementation. Format question (free text vs. controlled list) resolved by ACT-ISS-004 closure: structured zip code list.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assignedSponsorCoordinator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FU-PROSPECT-DAT-027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 (Member or Mentor) leading the relationship with this Funder Organization. Analogous to assignedLiaison on Partner Accounts. Optional in general; required by the time funderStatus reaches Active. Set, changed, and cleared by the Donor / Sponsor Coordinator at any time. Only the current value is stored; assignment history lives in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conditionally required when funderStatus = Active.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lastContactDate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FU-STEWARD-DAT-020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the most recent stewardship outreach to this Funder Organization. Manually set by the Donor / Sponsor Coordinator during the FU-STEWARD sweep after each outreach. The system does not auto-populate or auto-update this field from any source. Read by the Active Donors and Funders Sweep List as the primary sort field (null values first).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manually-set only.</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 assignedSponsorCoordinator, lastContactDate, geographicServiceArea (also defined in Section 3.3)</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 assignedSponsorCoordinator, lastContactDate, geographicServiceArea.</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CLOSED (v1.8): The CR domain process definition is complete and CR Domain PRD v1.2 awaits Stakeholder Review. The FU domain Phase 4b process definition is complete; the two FU-contributed Account fields surfaced by FU-PROSPECT (assignedSponsorCoordinator, FU-PROSPECT-DAT-027) and FU-STEWARD (lastContactDate, FU-STEWARD-DAT-020) are now integrated into Section 3.4 by this v1.8 update, alongside the geographicServiceArea restructure already applied at v1.7. The ACT-DEC-013 and ACT-DEC-014 entries document the FU-domain field integration.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t>CLOSED by FU-REPORT process definition session, 04-30-26. The field is restructured from free text to a structured multi-value zip code list, used for both Partner service areas and Donor/Sponsor funding territories. Master list of Northeast Ohio zip codes to be defined during implementation. CR-MARKETING-ISS-001 remains open in CR-MARKETING scope to the extent it covers questions beyond field format (campaign targeting model, master list maintenance ownership).</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t>ACT-DEC-012</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Version 1.6: industrySector enum values explicitly enumerated with 20 standard NAICS two-digit sector titles per MR-Y9-EXC-001. Replaces the prior count-only reference. This field is an enum (single-select) on Account; the corresponding Contact.industrySectors is a multiEnum (multi-select). Values adopted from the archived legacy YAML and confirmed during the MR Phase 9 YAML Generation conversation.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t>ACT-DEC-013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t>Version 1.7: geographicServiceArea field restructured from text to multiEnum (structured zip code list). Visibility expanded from accountType has Partner only to accountType has Partner OR accountType has Donor/Sponsor. The field now supports both Partner service areas and Donor/Sponsor funding territories, queryable for set-membership against Contact addressPostalCode for territory-based attribution reporting. Section 5.3 dynamic logic and Section 6 Donor/Sponsor Profile Panel updated to show the field. ACT-ISS-004 closed. Source: FU-REPORT process definition session, 04-30-26. Carry-forward request at PRDs/FU/carry-forward/SESSION-PROMPT-carry-forward-account-territory-zipcode-list.md.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ACT-DEC-014</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Version 1.8: Two Donor/Sponsor-specific fields added to Section 3.4: assignedSponsorCoordinator (FU-PROSPECT-DAT-027) and lastContactDate (FU-STEWARD-DAT-020). assignedSponsorCoordinator is a link to Contact, conditionally required when funderStatus = Active, analogous to assignedLiaison on Partner Accounts; only the current value is stored, with assignment history living in the activity stream. lastContactDate is manually set during the FU-STEWARD sweep with no auto-population, read by the Active Donors and Funders Sweep List as the primary sort field. Section 5.3 dynamic logic and Section 6 Donor/Sponsor Profile Panel updated. ACT-ISS-002 closed. Source: bundled end-of-FU-Phase-4b carry-forward request at PRDs/FU/carry-forward/SESSION-PROMPT-carry-forward-end-of-fu-phase-4b-bundled-entity-prd-updates.md.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ACT-DEC-015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Version 1.9: The Mentoring-Domain Client field previously named applicantSince is renamed to applicantSinceTimestamp to reflect that the field is a datetime and to align with all downstream artifacts that already use the longer name (MN-INTAKE v2.5, MN-Engagement YAML 1.0.1, MN/CR MANUAL-CONFIG entries, CR-Account YAML, Mentoring Domain PRD v1.1). Field type, ID (CR-EVENTS-CONVERT-DAT-025), required-status, default, semantics, source documents, and domain attribution are unchanged. Source: documented technical debt flagged in Mentoring Domain PRD v1.1 Change Log entry 05-05-26.</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