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04-09-26 10:05</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pending CBM leadership input — see CR-MARKETING-ISS-004. Straw man: Prospect, Applicant, Active Client, On Hold, Former Client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t xml:space="preserve">Client-relationship lifecycle of a client company. Tracks where the company is in their relationship with CBM, from initial marketing-stage prospect through active engagement to former client. Set to Prospect at Account creation when the Account is first created via a CR-MARKETING pathway with company information provided. Transitions to Applicant at MN-INTAKE when a linked Contact submits an application (or a new Account is created at Applicant if none exists, using the existing pre-startup naming logic from MN-INTAKE-REQ-008). Distinct from Contact.prospectStatus, which tracks the marketing-funnel state of an individual person. The two fields answer different questions: Account.clientStatus is about the company's relationship with CBM; Contact.prospectStatus is about an individual's marketing engagement. Multiple Contacts can be linked to the same Account at the same engagement, and the Account-level clientStatus correctly represents the relationship without ambiguity from any individual Contact's prospectStatus. Closes ACT-ISS-001. Source: CR-MARKETING Sub-Domain Overview v1.0. Domains: CR, MN.</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may be accompanied by a note at the Partner Coordinator’s discretion.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geographic territory or community the partner primarily serves — for example, City of Cleveland, Cuyahoga County, Greater Akron.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Format (free text vs. controlled list) is an open issue — see ACT-ISS-004.</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 xml:space="preserve">funderType, funderStatus, funderLifetimeGiving, funderNotes.</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spacing w:after="120"/>
      </w:pPr>
      <w:r>
        <w:t xml:space="preserve">Native website field as Account matching signal. The native website field on Account is the primary signal for prospect-Contact-to-Account matching under the Universal Contact-Creation Rules formalized in the CR-MARKETING Sub-Domain Overview v1.1. When a Contact is created via any CR-MARKETING pathway (web inquiry form, list import, single-record creation) with a website value, the system normalizes the domain (lowercase, protocol stripped, leading www stripped) and looks for an existing Account with a matching normalized website. The website domain is the only signal trusted for automatic linking in the Account precedence ladder. Name-based matching is not performed during creation, because two unrelated firms can legitimately share a name and the system cannot distinguish them without the website signal — automatically linking a Contact to the wrong company is a confidentiality and data-integrity risk that outweighs the cleanup cost of occasional duplicate Accounts. The Client Recruiter handles any duplicate Accounts via routine data hygiene. No new website-related field is added; the existing native field carries this responsibility.</w:t>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(v1.2): Resolved by the clientStatus field added to Section 3.2 (Client-Specific Fields) by the CR-MARKETING Sub-Domain Overview v1.0. The Account-level client lifecycle is now tracked via clientStatus, paired with Contact.prospectStatus on the Contact entity for the marketing-funnel state of individual people. The two fields answer different questions and cannot drift because they measure different things.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The CR and FU domains have only summary-level data from legacy Domain PRDs. This Entity PRD will require updates when those domain process documents are completed under the new document production process.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Geographic Service Area field format: free text vs. controlled list of Northeast Ohio geographies has not been decided. Carried forward from CR-ISS-002. Superseded in scope by CR-MARKETING-ISS-001 (geographic targeting model deferred to stakeholder input). The two issues will be resolved jointly when stakeholder input on partner count, sub-county prevalence, master list maintenance, and required precision is available.</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ACT-DEC-009</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the Account-level client-relationship lifecycle field, paired with Contact.prospectStatus on the Contact entity. The two fields answer different questions and cannot drift because they measure different things. clientStatus tracks the company's relationship with CBM; prospectStatus tracks an individual's marketing engagement. Multiple Contacts at the same Account share a single clientStatus without ambiguity.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set to Prospect at Account creation when an Account is first created via a CR-MARKETING pathway with company information provided. It transitions to Applicant at MN-INTAKE when a linked Contact submits an application, or a new Account is created at Applicant if none existed (using existing pre-startup naming logic from MN-INTAKE-REQ-008).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The native website field is the only signal trusted for automatic linking in the Account precedence ladder under the Universal Contact-Creation Rules. The ladder is two-step: (1) website domain match (normalized: lowercase, protocol stripped, leading www stripped), (2) manual or new — the system creates a new Account when no website match exists, with no name-based or fuzzy-match suggestions. Name-based linking is not performed because two unrelated firms can share a name; the Client Recruiter handles any duplicate Accounts via routine data hygiene. The native field is reused; no new website-related field is added. Source: CR-MARKETING Sub-Domain Overview v1.1.</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