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04-16-26 00:45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r>
        <w:tc>
          <w:tcPr>
            <w:tcW w:type="dxa" w:w="2200"/>
          </w:tcPr>
          <w:p>
            <w:r>
              <w:t>applicantSince</w:t>
            </w:r>
          </w:p>
        </w:tc>
        <w:tc>
          <w:tcPr>
            <w:tcW w:type="dxa" w:w="1100"/>
          </w:tcPr>
          <w:p>
            <w:r>
              <w:t>datetime</w:t>
            </w:r>
          </w:p>
        </w:tc>
        <w:tc>
          <w:tcPr>
            <w:tcW w:type="dxa" w:w="800"/>
          </w:tcPr>
          <w:p>
            <w:r>
              <w:t>No</w:t>
            </w:r>
          </w:p>
        </w:tc>
        <w:tc>
          <w:tcPr>
            <w:tcW w:type="dxa" w:w="2400"/>
          </w:tcPr>
          <w:p>
            <w:r>
              <w:t>—</w:t>
            </w:r>
          </w:p>
        </w:tc>
        <w:tc>
          <w:tcPr>
            <w:tcW w:type="dxa" w:w="1000"/>
          </w:tcPr>
          <w:p>
            <w:r>
              <w:t>— (system-populated by MN-INTAKE)</w:t>
            </w:r>
          </w:p>
        </w:tc>
        <w:tc>
          <w:tcPr>
            <w:tcW w:type="dxa" w:w="1860"/>
          </w:tcPr>
          <w:p>
            <w:r>
              <w:t>ACT-FLD-001</w:t>
            </w:r>
          </w:p>
        </w:tc>
      </w:tr>
      <w:tr>
        <w:tc>
          <w:tcPr>
            <w:tcW w:type="dxa" w:w="9360"/>
            <w:gridSpan w:val="6"/>
          </w:tcPr>
          <w:p>
            <w:r>
              <w:t>Timestamp recording when this Account’s clientStatus first transitioned to Applicant. System-populated by MN-INTAKE (REQ-011, pending update). The “if currently null” guard ensures the timestamp records the first time the account reached Applicant status, not subsequent re-applications. Used by CR-EVENTS-CONVERT as the application-side anchor for conversion window calculation. Source: CR-EVENTS-CONVERT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geographic territory or community the partner primarily serves — for example, City of Cleveland, Cuyahoga County, Greater Akron.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Format (free text vs. controlled list) is an open issue — see ACT-ISS-004.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The CR and FU domains have only summary-level data from legacy Domain PRDs. This Entity PRD will require updates when those domain process documents are completed under the new document production process.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Geographic Service Area field format: free text vs. controlled list of Northeast Ohio geographies has not been decided. Carried forward from CR-ISS-002. Superseded in scope by CR-MARKETING-ISS-001 (geographic targeting model deferred to stakeholder input). The two issues will be resolved jointly when stakeholder input on partner count, sub-county prevalence, master list maintenance, and required precision is available.</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