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i w:val="false"/>
          <w:iCs w:val="false"/>
          <w:color w:val="888888"/>
          <w:sz w:val="20"/>
          <w:szCs w:val="20"/>
        </w:rPr>
        <w:t xml:space="preserve">Cleveland Business Mentors</w:t>
      </w:r>
    </w:p>
    <w:p>
      <w:pPr>
        <w:spacing w:after="200"/>
      </w:pPr>
      <w:r>
        <w:rPr>
          <w:rFonts w:ascii="Arial" w:cs="Arial" w:eastAsia="Arial" w:hAnsi="Arial"/>
          <w:b/>
          <w:bCs/>
          <w:i w:val="false"/>
          <w:iCs w:val="false"/>
          <w:color w:val="1F3864"/>
          <w:sz w:val="40"/>
          <w:szCs w:val="40"/>
        </w:rPr>
        <w:t xml:space="preserve">Contact Entity PRD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Document Type</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PRD</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Entity</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Contact (Native — Person Type)</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Implementation</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Cleveland Business Mentors (CBM)</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Version</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1.5</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Draft</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Last Updated</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04-16-26 00:30</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Source Documents</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v2.0, Entity Inventory v1.0, MN Domain PRD v1.0, MR Domain PRD v1.0 (legacy), CR Domain PRD v1.0 (legacy, summary), FU Domain PRD v1.0 (legacy, summary)</w:t>
            </w:r>
          </w:p>
        </w:tc>
      </w:tr>
    </w:tbl>
    <w:p>
      <w:r>
        <w:br w:type="page"/>
      </w:r>
    </w:p>
    <w:p>
      <w:pPr>
        <w:pStyle w:val="Heading1"/>
        <w:spacing w:after="120" w:before="360"/>
      </w:pPr>
      <w:r>
        <w:rPr>
          <w:rFonts w:ascii="Arial" w:cs="Arial" w:eastAsia="Arial" w:hAnsi="Arial"/>
          <w:b/>
          <w:bCs/>
          <w:i w:val="false"/>
          <w:iCs w:val="false"/>
          <w:color w:val="1F3864"/>
          <w:sz w:val="32"/>
          <w:szCs w:val="32"/>
        </w:rPr>
        <w:t xml:space="preserve">1. Entity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CRM Entity Name</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Contact</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Native / Custom</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Native</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Entity Type</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Person</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(Singular)</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Contact</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Display Label (Plural)</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Contacts</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Activity Stream</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Primary Domain</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Mentoring (MN)</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Contributing Domains</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(MN), Mentor Recruitment (MR), Client Recruiting (CR), Fundraising (FU)</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Discriminator Field</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contactType (multiEnum)</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Discriminator Values</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Mentor, Partner, Administrator, Presenter, Donor, Member</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The Contact entity is the single repository for all individual people known to Cleveland Business Mentors. It is the most complex entity in the implementation, spanning all four business domains with type-specific fields controlled by dynamic logic visibility rules based on the contactType discriminator.</w:t>
      </w:r>
    </w:p>
    <w:p>
      <w:pPr>
        <w:spacing w:after="120"/>
      </w:pPr>
      <w:r>
        <w:rPr>
          <w:rFonts w:ascii="Arial" w:cs="Arial" w:eastAsia="Arial" w:hAnsi="Arial"/>
          <w:b w:val="false"/>
          <w:bCs w:val="false"/>
          <w:i w:val="false"/>
          <w:iCs w:val="false"/>
          <w:sz w:val="22"/>
          <w:szCs w:val="22"/>
        </w:rPr>
        <w:t xml:space="preserve">A single Contact can hold multiple types simultaneously. A volunteer mentor who also presents at workshops and serves on the board would have contactType values of Mentor, Presenter, and Administrator. Dynamic logic uses the "contactType has [value]" condition to show or hide type-specific fields, meaning a Contact with multiple types sees the union of all relevant fields.</w:t>
      </w:r>
    </w:p>
    <w:p>
      <w:pPr>
        <w:spacing w:after="120"/>
      </w:pPr>
      <w:r>
        <w:rPr>
          <w:rFonts w:ascii="Arial" w:cs="Arial" w:eastAsia="Arial" w:hAnsi="Arial"/>
          <w:b w:val="false"/>
          <w:bCs w:val="false"/>
          <w:i w:val="false"/>
          <w:iCs w:val="false"/>
          <w:sz w:val="22"/>
          <w:szCs w:val="22"/>
        </w:rPr>
        <w:t>Prospect is a lifecycle state, not a contactType value. A mentor prospect is a Contact with contactType = Mentor at Mentor Status = Prospect. A client prospect is a Contact with contactType = Client at prospectStatus reflecting their marketing-funnel state — client prospects exist as Contact records in the CRM from the moment they enter through any CR-MARKETING pathway (web inquiry, list import, single-record creation, or other inbound channel), well before any application is submitted. The prospectStatus field on Contact tracks the marketing-funnel state of the person; the clientStatus field on the linked Account (when present) tracks the client-relationship state of the company. See Section 3.5.</w:t>
      </w:r>
    </w:p>
    <w:p>
      <w:pPr>
        <w:spacing w:after="120"/>
      </w:pPr>
      <w:r>
        <w:rPr>
          <w:rFonts w:ascii="Arial" w:cs="Arial" w:eastAsia="Arial" w:hAnsi="Arial"/>
          <w:b/>
          <w:bCs/>
          <w:i w:val="false"/>
          <w:iCs w:val="false"/>
          <w:sz w:val="22"/>
          <w:szCs w:val="22"/>
        </w:rPr>
        <w:t>Domain coverage: The Mentoring (MN) domain has complete field-level detail from the reconciled Domain PRD v1.0 and five process documents. The Mentor Recruitment (MR) domain has complete field definitions from the reconciled MR Domain PRD v1.0. The Client Recruiting (CR) domain has marketing-related fields from the CR-MARKETING Sub-Domain Overview v1.0 (see Section 3.5); CR-EVENTS and CR-REACTIVATE remain to be covered. The Fundraising (FU) domain still has only summary-level data from the Master PRD. This Entity PRD will require further updates as the remaining CR and FU domain process documents are completed.</w:t>
      </w:r>
      <w:r>
        <w:rPr>
          <w:rFonts w:ascii="Arial" w:cs="Arial" w:eastAsia="Arial" w:hAnsi="Arial"/>
          <w:b w:val="false"/>
          <w:bCs w:val="false"/>
          <w:i w:val="false"/>
          <w:iCs w:val="false"/>
          <w:sz w:val="22"/>
          <w:szCs w:val="22"/>
        </w:rPr>
      </w:r>
    </w:p>
    <w:p>
      <w:r>
        <w:br w:type="page"/>
      </w:r>
    </w:p>
    <w:p>
      <w:pPr>
        <w:pStyle w:val="Heading1"/>
        <w:spacing w:after="120" w:before="360"/>
      </w:pPr>
      <w:r>
        <w:rPr>
          <w:rFonts w:ascii="Arial" w:cs="Arial" w:eastAsia="Arial" w:hAnsi="Arial"/>
          <w:b/>
          <w:bCs/>
          <w:i w:val="false"/>
          <w:iCs w:val="false"/>
          <w:color w:val="1F3864"/>
          <w:sz w:val="32"/>
          <w:szCs w:val="32"/>
        </w:rPr>
        <w:t xml:space="preserve">2. Native Fields</w:t>
      </w:r>
    </w:p>
    <w:p>
      <w:pPr>
        <w:spacing w:after="120"/>
      </w:pPr>
      <w:r>
        <w:rPr>
          <w:rFonts w:ascii="Arial" w:cs="Arial" w:eastAsia="Arial" w:hAnsi="Arial"/>
          <w:b w:val="false"/>
          <w:bCs w:val="false"/>
          <w:i w:val="false"/>
          <w:iCs w:val="false"/>
          <w:sz w:val="22"/>
          <w:szCs w:val="22"/>
        </w:rPr>
        <w:t xml:space="preserve">The following fields already exist on the Contact entity because of its Person entity type. These fields are not created by YAML. They are documented here so process documents and Entity PRDs can reference them correctly, and to prevent duplicate field creation during YAML generation.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000"/>
        <w:gridCol w:w="27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Native Field</w:t>
            </w:r>
          </w:p>
        </w:tc>
        <w:tc>
          <w:tcPr>
            <w:tcW w:type="dxa" w:w="1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3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PRD Name(s) / Mapping</w:t>
            </w:r>
          </w:p>
        </w:tc>
        <w:tc>
          <w:tcPr>
            <w:tcW w:type="dxa" w:w="27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Referenced By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firstName</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First Name (MN-INTAKE-DAT-008)</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MN-ENGAGE, MN-INACTIVE, MN-CLOSE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lastName</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Last Name (MN-INTAKE-DAT-009)</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MN-ENGAGE, MN-INACTIVE, MN-CLOSE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middleName</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Middle Name (MN-INTAKE-DAT-010)</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salutationName</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Salutation (Mr., Mrs., Ms., Dr.)</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explicitly referenced in PRDs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title</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Professional Title (MR domain)</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MR-MANAGE; shared across all types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emailAddress</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email (multi)</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Email (MN-INTAKE-DAT-012)</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MN-ENGAGE, MN-CLOSE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phoneNumber</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phone (multi)</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Phone (MN-INTAKE-DAT-013)</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MN-ENGAGE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addressStreet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 composite — street portion</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(partial: zip code only)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addressCity</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 composite — city portion</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(partial: zip code only)</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addressState</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 composite — state portion</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(partial: zip code only)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addressCountry</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 composite — country portion</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(partial: zip code only)</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addressPostalCode</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Zip Code (MN-INTAKE-DAT-014)</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description</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text</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General description/notes</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explicitly referenced in PRDs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createdAt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 — record creation timestamp</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modifiedAt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 — last modified timestamp</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assignedUser</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 — assigned CRM user</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sz w:val="22"/>
          <w:szCs w:val="22"/>
        </w:rPr>
        <w:t xml:space="preserve">Note on emailAddress: </w:t>
      </w:r>
      <w:r>
        <w:rPr>
          <w:rFonts w:ascii="Arial" w:cs="Arial" w:eastAsia="Arial" w:hAnsi="Arial"/>
          <w:b w:val="false"/>
          <w:bCs w:val="false"/>
          <w:i w:val="false"/>
          <w:iCs w:val="false"/>
          <w:sz w:val="22"/>
          <w:szCs w:val="22"/>
        </w:rPr>
        <w:t xml:space="preserve">The native emailAddress field supports multiple email addresses with a primary designation. For Client, Partner, Donor, Administrator, Presenter, and Member contacts, the native email field is sufficient. For Mentor contacts, two additional custom email fields (personalEmail, cbmEmailAddress) are defined in Section 3 to maintain an explicit distinction between personal and organizational email addresses. The native emailAddress field remains available on Mentor contacts but is not the primary mechanism for mentor email management.</w:t>
      </w:r>
    </w:p>
    <w:p>
      <w:pPr>
        <w:spacing w:after="120"/>
      </w:pPr>
      <w:r>
        <w:rPr>
          <w:rFonts w:ascii="Arial" w:cs="Arial" w:eastAsia="Arial" w:hAnsi="Arial"/>
          <w:b/>
          <w:bCs/>
          <w:i w:val="false"/>
          <w:iCs w:val="false"/>
          <w:sz w:val="22"/>
          <w:szCs w:val="22"/>
        </w:rPr>
        <w:t xml:space="preserve">Note on address: </w:t>
      </w:r>
      <w:r>
        <w:rPr>
          <w:rFonts w:ascii="Arial" w:cs="Arial" w:eastAsia="Arial" w:hAnsi="Arial"/>
          <w:b w:val="false"/>
          <w:bCs w:val="false"/>
          <w:i w:val="false"/>
          <w:iCs w:val="false"/>
          <w:sz w:val="22"/>
          <w:szCs w:val="22"/>
        </w:rPr>
        <w:t xml:space="preserve">The Client Intake process collects only zip code (MN-INTAKE-DAT-014), which maps to the native addressPostalCode field. The full address composite is available for any contact type where a complete address is needed. No custom address fields are required.</w:t>
      </w:r>
    </w:p>
    <w:p>
      <w:r>
        <w:br w:type="page"/>
      </w:r>
    </w:p>
    <w:p>
      <w:pPr>
        <w:pStyle w:val="Heading1"/>
        <w:spacing w:after="120" w:before="360"/>
      </w:pPr>
      <w:r>
        <w:rPr>
          <w:rFonts w:ascii="Arial" w:cs="Arial" w:eastAsia="Arial" w:hAnsi="Arial"/>
          <w:b/>
          <w:bCs/>
          <w:i w:val="false"/>
          <w:iCs w:val="false"/>
          <w:color w:val="1F3864"/>
          <w:sz w:val="32"/>
          <w:szCs w:val="32"/>
        </w:rPr>
        <w:t xml:space="preserve">3. Custom Fields</w:t>
      </w:r>
    </w:p>
    <w:p>
      <w:pPr>
        <w:spacing w:after="120"/>
      </w:pPr>
      <w:r>
        <w:rPr>
          <w:rFonts w:ascii="Arial" w:cs="Arial" w:eastAsia="Arial" w:hAnsi="Arial"/>
          <w:b w:val="false"/>
          <w:bCs w:val="false"/>
          <w:i w:val="false"/>
          <w:iCs w:val="false"/>
          <w:sz w:val="22"/>
          <w:szCs w:val="22"/>
        </w:rPr>
        <w:t xml:space="preserve">Custom fields must be created via YAML program files. Fields are organized by scope: shared fields (visible for all contact types, no dynamic logic required), CBM internal fields (visible for organizational member types), and type-specific fields (controlled by dynamic logic visibility rules based on contactType).</w:t>
      </w:r>
    </w:p>
    <w:p>
      <w:pPr>
        <w:pStyle w:val="Heading2"/>
        <w:spacing w:after="120" w:before="240"/>
      </w:pPr>
      <w:r>
        <w:rPr>
          <w:rFonts w:ascii="Arial" w:cs="Arial" w:eastAsia="Arial" w:hAnsi="Arial"/>
          <w:b/>
          <w:bCs/>
          <w:i w:val="false"/>
          <w:iCs w:val="false"/>
          <w:color w:val="1F3864"/>
          <w:sz w:val="28"/>
          <w:szCs w:val="28"/>
        </w:rPr>
        <w:t xml:space="preserve">3.1 Shared Fields</w:t>
      </w:r>
    </w:p>
    <w:p>
      <w:pPr>
        <w:spacing w:after="120"/>
      </w:pPr>
      <w:r>
        <w:rPr>
          <w:rFonts w:ascii="Arial" w:cs="Arial" w:eastAsia="Arial" w:hAnsi="Arial"/>
          <w:b w:val="false"/>
          <w:bCs w:val="false"/>
          <w:i w:val="false"/>
          <w:iCs w:val="false"/>
          <w:sz w:val="22"/>
          <w:szCs w:val="22"/>
        </w:rPr>
        <w:t xml:space="preserve">The following custom fields apply to all contact types. No dynamic logic visibility rules are required.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contactType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Mentor, Partner, Administrator, Presenter, Donor, Member</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EI-2a</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discriminator field for the Contact entity. Determines which type-specific fields and panels are visible. A Contact may hold any combination of values. Set based on how the Contact enters the system (e.g., Mentor at MR-APPLY submission, Client at MN-INTAKE submission).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All.</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preferredName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MN-INTAKE-DAT-011</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name the contact prefers to be called. Used in communications when provided. Originally defined for Client contacts; applicable to all contact types.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MN, MR, CR, FU.</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linkedInProfile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url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MN-INTAKE-DAT-015</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contact’s LinkedIn profile URL. Provides professional background context. Defined in MN-INTAKE for Client contacts and in MR domain for Mentor contacts.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MN, MR.</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howDidYouHearAboutCbm</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Partner Referral, Workshop or Event, Email Marketing, Social Media, Search Engine, CBM Website, News or Media, Personal Referral, Returning Client, Other</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CR-MARKETING SDO</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t>How the contact learned about CBM. Recorded at point of first contact for any contact type. Supports referral channel and source attribution reporting. The 10-value enum list is finalized by the CR-MARKETING Sub-Domain Overview and rolls up to CR sub-domains for channel effectiveness reporting (Partner Referral → CR-PARTNER; Workshop or Event → CR-EVENTS; Email Marketing, Social Media, Search Engine, CBM Website, News or Media → CR-MARKETING; Returning Client → CR-REACTIVATE; Personal Referral and Other → organic/unattributed). Domains: MR, CR.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termsAndConditionsAccepted</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MR-APPLY</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the contact has accepted CBM’s terms and conditions. System-populated from application or portal form submission. Admin-only; read-only for contacts. Shared for portal readiness.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(currently), all (future).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readOnly, admin-only.</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termsAndConditionsAcceptanceDateTime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MR-APPLY</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Timestamp of terms and conditions acceptance. System-populated. Admin-only; read-only for contacts.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(currently), all (future).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readOnly, admin-only.</w:t>
            </w:r>
          </w:p>
        </w:tc>
      </w:tr>
    </w:tbl>
    <w:p>
      <w:pPr>
        <w:pStyle w:val="Heading2"/>
        <w:spacing w:after="120" w:before="240"/>
      </w:pPr>
      <w:r>
        <w:rPr>
          <w:rFonts w:ascii="Arial" w:cs="Arial" w:eastAsia="Arial" w:hAnsi="Arial"/>
          <w:b/>
          <w:bCs/>
          <w:i w:val="false"/>
          <w:iCs w:val="false"/>
          <w:color w:val="1F3864"/>
          <w:sz w:val="28"/>
          <w:szCs w:val="28"/>
        </w:rPr>
        <w:t xml:space="preserve">3.2 CBM Internal Fields</w:t>
      </w:r>
    </w:p>
    <w:p>
      <w:pPr>
        <w:spacing w:after="120"/>
      </w:pPr>
      <w:r>
        <w:rPr>
          <w:rFonts w:ascii="Arial" w:cs="Arial" w:eastAsia="Arial" w:hAnsi="Arial"/>
          <w:b w:val="false"/>
          <w:bCs w:val="false"/>
          <w:i w:val="false"/>
          <w:iCs w:val="false"/>
          <w:sz w:val="22"/>
          <w:szCs w:val="22"/>
        </w:rPr>
        <w:t xml:space="preserve">The following custom fields are visible when contactType has any CBM organizational member value: Mentor, Member, Administrator, or Presenter. Hidden for external relationship types: Client, Partner, Donor.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boardPosition</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contact’s title or role on the CBM board (e.g., Board Chair, Treasurer, Secretary). A board member must be a CBM organizational member but may hold any internal contact type. </w:t>
            </w:r>
            <w:r>
              <w:rPr>
                <w:rFonts w:ascii="Arial" w:cs="Arial" w:eastAsia="Arial" w:hAnsi="Arial"/>
                <w:b/>
                <w:bCs/>
                <w:i w:val="false"/>
                <w:iCs w:val="false"/>
                <w:color w:val="888888"/>
                <w:sz w:val="20"/>
                <w:szCs w:val="20"/>
              </w:rPr>
              <w:t xml:space="preserve">Visibility: </w:t>
            </w:r>
            <w:r>
              <w:rPr>
                <w:rFonts w:ascii="Arial" w:cs="Arial" w:eastAsia="Arial" w:hAnsi="Arial"/>
                <w:b w:val="false"/>
                <w:bCs w:val="false"/>
                <w:i w:val="false"/>
                <w:iCs w:val="false"/>
                <w:color w:val="888888"/>
                <w:sz w:val="20"/>
                <w:szCs w:val="20"/>
              </w:rPr>
              <w:t xml:space="preserve">contactType has Mentor OR Member OR Administrator OR Presenter.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w:t>
            </w:r>
          </w:p>
        </w:tc>
      </w:tr>
    </w:tbl>
    <w:p>
      <w:r>
        <w:br w:type="page"/>
      </w:r>
    </w:p>
    <w:p>
      <w:pPr>
        <w:pStyle w:val="Heading2"/>
        <w:spacing w:after="120" w:before="240"/>
      </w:pPr>
      <w:r>
        <w:rPr>
          <w:rFonts w:ascii="Arial" w:cs="Arial" w:eastAsia="Arial" w:hAnsi="Arial"/>
          <w:b/>
          <w:bCs/>
          <w:i w:val="false"/>
          <w:iCs w:val="false"/>
          <w:color w:val="1F3864"/>
          <w:sz w:val="28"/>
          <w:szCs w:val="28"/>
        </w:rPr>
        <w:t xml:space="preserve">3.3 Mentor-Specific Fields</w:t>
      </w:r>
    </w:p>
    <w:p>
      <w:pPr>
        <w:spacing w:after="120"/>
      </w:pPr>
      <w:r>
        <w:rPr>
          <w:rFonts w:ascii="Arial" w:cs="Arial" w:eastAsia="Arial" w:hAnsi="Arial"/>
          <w:b w:val="false"/>
          <w:bCs w:val="false"/>
          <w:i w:val="false"/>
          <w:iCs w:val="false"/>
          <w:sz w:val="22"/>
          <w:szCs w:val="22"/>
        </w:rPr>
        <w:t xml:space="preserve">The following custom fields are visible only when contactType has Mentor. All fields in this section use the dynamic logic visibility rule: contactType has Mentor.</w:t>
      </w:r>
    </w:p>
    <w:p>
      <w:pPr>
        <w:spacing w:after="120"/>
      </w:pPr>
      <w:r>
        <w:rPr>
          <w:rFonts w:ascii="Arial" w:cs="Arial" w:eastAsia="Arial" w:hAnsi="Arial"/>
          <w:b/>
          <w:bCs/>
          <w:i w:val="false"/>
          <w:iCs w:val="false"/>
          <w:color w:val="1F3864"/>
          <w:sz w:val="22"/>
          <w:szCs w:val="22"/>
        </w:rPr>
        <w:t xml:space="preserve">Lifecycle and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mentorStatus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Prospect, Submitted, In Review, Provisional, Active, Paused, Inactive, Resigned, Departed, Declined</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MN-MATCH-DAT-015</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current lifecycle stage of the mentor’s relationship with CBM. Drives assignment eligibility, role-based access control, and inactivity monitoring. Only Active mentors are eligible for new assignments.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(owner), MN (read-only reference).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audited.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acceptingNewClients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MN-MATCH-DAT-016</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the mentor is currently available for new client assignments. Relevant only when mentorStatus = Active. Mentor-editable. Set by Mentor Administrator at activation.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MN.</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maximumClientCapacity</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MN-MATCH-DAT-017</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Maximum number of simultaneous active client engagements this mentor will accept. Set by Mentor Administrator at activation. Mentor-editable.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MN.</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currentActiveClients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Count of Engagements where this mentor is Assigned Mentor and Engagement Status is Active or Assigned.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system-calculated, readOnly.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availableCapacity</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MN-MATCH-DAT-018</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maximumClientCapacity minus currentActiveClients. Used during mentor nomination to verify capacity before assignment.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MN.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system-calculated, readOnly.</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color w:val="1F3864"/>
          <w:sz w:val="22"/>
          <w:szCs w:val="22"/>
        </w:rPr>
        <w:t xml:space="preserve">Contact and Identity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personalEmail</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email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MR-APPLY</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mentor’s personal email address. Used for all onboarding communications prior to CBM email activation and as a permanent contact address independent of their CBM account.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cbmEmailAddress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email</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MR-ONBOARD</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mentor’s assigned CBM organizational email address. Populated by Mentor Administrator during activation. Used for all ongoing mentoring communications after activation. Cleared on departure.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admin-populated.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currentEmployer</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MR-APPLY</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name of the mentor’s current employer or organization.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currentlyEmployed</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MR-APPLY</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the mentor was employed at the time of application. Point-in-time snapshot collected on the application form.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yearsOfBusinessExperience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Total years of professional business experience. Used for mentor profile and matching.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color w:val="1F3864"/>
          <w:sz w:val="22"/>
          <w:szCs w:val="22"/>
        </w:rPr>
        <w:t xml:space="preserve">Profile and Matching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professionalBio</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wysiwyg</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MR-APPLY</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Free-form description of the mentor’s professional background and work experience. Used for mentor profiles and matching communications. Collected on the application form.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industrySectors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Same as Client Org Industry Sector (20 NAICS sectors)</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MN-MATCH-DAT-011</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Industry sectors where the mentor has experience. Primary matching criterion — compared against the client’s Industry Sector. Values must align with the Industry Sector field on Client Organization.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(owner), MN (read-only reference).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mentoringFocusAreas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TBD — see CON-ISS-003</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MN-MATCH-DAT-012</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Areas where the mentor can provide guidance. Primary matching criterion — compared against the client’s Mentoring Focus Areas on the Engagement record. Values must align with the Engagement-level Mentoring Focus Areas field.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(owner), MN (read-only reference).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skillsExpertiseTags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TBD — see CON-ISS-004</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MN-MATCH-DAT-013</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Finer-grained expertise tags beyond industry sector and focus areas. Supports advanced mentor-client matching. Values to be defined by CBM leadership.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(owner), MN (read-only reference).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fluentLanguages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TBD — see CON-ISS-005</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MN-MATCH-DAT-014</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Languages the mentor is fluent in. Used to match clients who prefer to work in a language other than English. Values to be defined by CBM leadership.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(owner), MN (read-only reference).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whyInterestedInMentoring</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wysiwyg</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MR-APPLY</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mentor’s stated motivation for joining CBM as a volunteer mentor. Collected on the application form.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color w:val="1F3864"/>
          <w:sz w:val="22"/>
          <w:szCs w:val="22"/>
        </w:rPr>
        <w:t xml:space="preserve">Role Eligibility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isPrimaryMentor</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this mentor is eligible for primary mentor assignments. Set by Mentor Administrator. Defaults to Yes on activation.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isCoMentor</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this mentor is eligible for co-mentor assignments. Set by Mentor Administrator.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isSubjectMatterExpert</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this mentor is eligible for subject matter expert assignments. Set by Mentor Administrator.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color w:val="1F3864"/>
          <w:sz w:val="22"/>
          <w:szCs w:val="22"/>
        </w:rPr>
        <w:t xml:space="preserve">Onboarding and Compliance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ethicsAgreementAccepted</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MR-ONBOARD</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the mentor has accepted the current CBM ethics agreement. Set by Mentor Administrator.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admin-only, readOnly for mentors.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ethicsAgreementAcceptanceDateTime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MR-ONBOARD</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Date and time of the mentor’s most recent ethics agreement acceptance. Set by Mentor Administrator.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admin-only.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backgroundCheckCompleted</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MR-ONBOARD</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a background check has been completed for this mentor.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admin-only, hidden from mentor.</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backgroundCheckDate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MR-ONBOARD</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date the background check was completed.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admin-only, hidden from mentor.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felonyConvictionDisclosure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MR-APPLY</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the applicant disclosed a felony conviction. System-populated from the mentor application form. Protects the integrity of the review process.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system-populated, admin-only, hidden from mentor after submission.</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trainingCompleted</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MR-ONBOARD</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System-populated via learning management system integration when required training is completed. May also be manually set by the Mentor Administrator as a fallback when LMS integration is unavailable. Mentor can see their own status.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system-populated or manually set by Mentor Administrator.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trainingCompletionDate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MR-ONBOARD</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Date required training was completed. System-populated via LMS integration or manually set by the Mentor Administrator as a fallback.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system-populated or manually set by Mentor Administrator.</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color w:val="1F3864"/>
          <w:sz w:val="22"/>
          <w:szCs w:val="22"/>
        </w:rPr>
        <w:t xml:space="preserve">Dues and Financial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duesStatus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Unpaid, Paid, Waived</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mentor’s current-year dues standing. Summary field maintained by the Mentor Administrator, independent of individual Dues entity records.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admin-only.</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duesPaymentDate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Date of most recent dues payment. Not applicable when duesStatus = Waived.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admin-only.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duesRenewalDate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DUES-DEC-005</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mentor’s annual dues renewal date, derived from their activation anniversary. Used by the Mentor Administrator to determine when to create each year’s Dues record.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admin-only. Added from Dues Entity PRD (DUES-DEC-005).</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color w:val="1F3864"/>
          <w:sz w:val="22"/>
          <w:szCs w:val="22"/>
        </w:rPr>
        <w:t xml:space="preserve">Application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applicationDeclineReason</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Conditional</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Insufficient Experience, Incomplete Application, Failed Background Check, Conflict of Interest, Unresponsive, Candidate Withdrew, Other</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MR-APPLY-DAT-024</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Reason the mentor application was declined. Required when mentorStatus = Declined. Admin-only. Dynamic logic: visible only when mentorStatus = Declined. Used during both MR-APPLY (application decline) and MR-ONBOARD (onboarding decline). Reconciled to 7 values (MR-RECON-DEC-002): Unresponsive and Candidate Withdrew added by MR-ONBOARD.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admin-only. Dynamic logic: visible when mentorStatus = Declined.</w:t>
            </w:r>
          </w:p>
        </w:tc>
      </w:tr>
    </w:tbl>
    <w:p>
      <w:pPr>
        <w:spacing w:after="120"/>
      </w:pPr>
      <w:r>
        <w:rPr>
          <w:rFonts w:ascii="Arial" w:cs="Arial" w:eastAsia="Arial" w:hAnsi="Arial"/>
          <w:b/>
          <w:bCs/>
          <w:i w:val="false"/>
          <w:iCs w:val="false"/>
          <w:color w:val="1F3864"/>
          <w:sz w:val="22"/>
          <w:szCs w:val="22"/>
        </w:rPr>
        <w:t xml:space="preserve">Analytics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totalLifetimeSessions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MR-MANAGE-DAT-021</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Count of all completed sessions across all of the mentor’s engagements. System-calculated, read-only. Visible in list views and detail pages.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system-calculated, readOnly.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totalMentoringHours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float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MR-MANAGE-DAT-022</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Sum of all session hours across all of the mentor’s engagements. System-calculated, read-only. Visible in list views and detail pages.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system-calculated, readOnly.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totalSessionsLast30Days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MR-MANAGE-DAT-023</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Count of completed sessions in a rolling 30-day window across all of the mentor’s engagements. System-calculated, read-only. Visible in list views and detail pages.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system-calculated, readOnly.</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color w:val="1F3864"/>
          <w:sz w:val="22"/>
          <w:szCs w:val="22"/>
        </w:rPr>
        <w:t xml:space="preserve">Departure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departureReason</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Relocated, Career Change, Time Constraints, Personal, Other</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MR-DEPART</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Reason the mentor exited CBM. Shown only when mentorStatus in [Resigned, Departed]. Set by Mentor Administrator at offboarding.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admin-only. Dynamic logic: visible when mentorStatus in [Resigned, Departed].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departureDate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MR-DEPART</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Date the mentor formally departed. Shown only when mentorStatus in [Resigned, Departed].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admin-only. Dynamic logic: visible when mentorStatus in [Resigned, Departed].</w:t>
            </w:r>
          </w:p>
        </w:tc>
      </w:tr>
    </w:tbl>
    <w:p>
      <w:pPr>
        <w:pStyle w:val="Heading2"/>
        <w:spacing w:after="120" w:before="240"/>
      </w:pPr>
      <w:r>
        <w:rPr>
          <w:rFonts w:ascii="Arial" w:cs="Arial" w:eastAsia="Arial" w:hAnsi="Arial"/>
          <w:b/>
          <w:bCs/>
          <w:i w:val="false"/>
          <w:iCs w:val="false"/>
          <w:color w:val="1F3864"/>
          <w:sz w:val="28"/>
          <w:szCs w:val="28"/>
        </w:rPr>
        <w:t xml:space="preserve">3.4 Incomplete Domain Fields</w:t>
      </w:r>
    </w:p>
    <w:p>
      <w:pPr>
        <w:spacing w:after="120"/>
      </w:pPr>
      <w:r>
        <w:rPr>
          <w:rFonts w:ascii="Arial" w:cs="Arial" w:eastAsia="Arial" w:hAnsi="Arial"/>
          <w:b w:val="false"/>
          <w:bCs w:val="false"/>
          <w:i w:val="false"/>
          <w:iCs w:val="false"/>
          <w:sz w:val="22"/>
          <w:szCs w:val="22"/>
        </w:rPr>
        <w:t xml:space="preserve">The following contact types have no type-specific custom fields defined yet. Additional fields are expected when their respective domain process documents are completed.</w:t>
      </w:r>
    </w:p>
    <w:p>
      <w:pPr>
        <w:pStyle w:val="ListParagraph"/>
        <w:numPr>
          <w:ilvl w:val="0"/>
          <w:numId w:val="2"/>
        </w:numPr>
        <w:spacing w:after="60"/>
      </w:pPr>
      <w:r>
        <w:rPr>
          <w:rFonts w:ascii="Arial" w:cs="Arial" w:eastAsia="Arial" w:hAnsi="Arial"/>
          <w:b/>
          <w:bCs/>
          <w:i w:val="false"/>
          <w:iCs w:val="false"/>
          <w:sz w:val="22"/>
          <w:szCs w:val="22"/>
        </w:rPr>
        <w:t>Client — Marketing-related Client fields are defined in Section 3.5 (Marketing and Source Attribution) by the CR-MARKETING Sub-Domain Overview. Other Client-specific fields (engagement-related, intake-related) remain to be defined as the remaining CR sub-domain process documents are completed. CON-ISS-001 is CLOSED (resolved by the prospectStatus field in Section 3.5).</w:t>
      </w:r>
      <w:r>
        <w:rPr>
          <w:rFonts w:ascii="Arial" w:cs="Arial" w:eastAsia="Arial" w:hAnsi="Arial"/>
          <w:b w:val="false"/>
          <w:bCs w:val="false"/>
          <w:i w:val="false"/>
          <w:iCs w:val="false"/>
          <w:sz w:val="22"/>
          <w:szCs w:val="22"/>
        </w:rPr>
      </w:r>
    </w:p>
    <w:p>
      <w:pPr>
        <w:pStyle w:val="ListParagraph"/>
        <w:numPr>
          <w:ilvl w:val="0"/>
          <w:numId w:val="2"/>
        </w:numPr>
        <w:spacing w:after="60"/>
      </w:pPr>
      <w:r>
        <w:rPr>
          <w:rFonts w:ascii="Arial" w:cs="Arial" w:eastAsia="Arial" w:hAnsi="Arial"/>
          <w:b/>
          <w:bCs/>
          <w:i w:val="false"/>
          <w:iCs w:val="false"/>
          <w:sz w:val="22"/>
          <w:szCs w:val="22"/>
        </w:rPr>
        <w:t xml:space="preserve">Partner</w:t>
      </w:r>
      <w:r>
        <w:rPr>
          <w:rFonts w:ascii="Arial" w:cs="Arial" w:eastAsia="Arial" w:hAnsi="Arial"/>
          <w:b w:val="false"/>
          <w:bCs w:val="false"/>
          <w:i w:val="false"/>
          <w:iCs w:val="false"/>
          <w:sz w:val="22"/>
          <w:szCs w:val="22"/>
        </w:rPr>
        <w:t xml:space="preserve"> — No custom fields defined. CON-ISS-002 is closed: partner lifecycle is tracked at the Account level via partnerStatus, not at the Contact level. No Partner-specific lifecycle field is needed on Contact. Other Partner Contact fields may be added if identified during remaining CR domain process definition.</w:t>
      </w:r>
    </w:p>
    <w:p>
      <w:pPr>
        <w:pStyle w:val="ListParagraph"/>
        <w:numPr>
          <w:ilvl w:val="0"/>
          <w:numId w:val="2"/>
        </w:numPr>
        <w:spacing w:after="60"/>
      </w:pPr>
      <w:r>
        <w:rPr>
          <w:rFonts w:ascii="Arial" w:cs="Arial" w:eastAsia="Arial" w:hAnsi="Arial"/>
          <w:b/>
          <w:bCs/>
          <w:i w:val="false"/>
          <w:iCs w:val="false"/>
          <w:sz w:val="22"/>
          <w:szCs w:val="22"/>
        </w:rPr>
        <w:t xml:space="preserve">Donor</w:t>
      </w:r>
      <w:r>
        <w:rPr>
          <w:rFonts w:ascii="Arial" w:cs="Arial" w:eastAsia="Arial" w:hAnsi="Arial"/>
          <w:b w:val="false"/>
          <w:bCs w:val="false"/>
          <w:i w:val="false"/>
          <w:iCs w:val="false"/>
          <w:sz w:val="22"/>
          <w:szCs w:val="22"/>
        </w:rPr>
        <w:t xml:space="preserve"> — No custom fields defined. A Donor-specific lifecycle field is an open issue (CON-ISS-003). Donor Contact fields will be defined during FU domain process definition.</w:t>
      </w:r>
    </w:p>
    <w:p>
      <w:pPr>
        <w:pStyle w:val="ListParagraph"/>
        <w:numPr>
          <w:ilvl w:val="0"/>
          <w:numId w:val="2"/>
        </w:numPr>
        <w:spacing w:after="60"/>
      </w:pPr>
      <w:r>
        <w:rPr>
          <w:rFonts w:ascii="Arial" w:cs="Arial" w:eastAsia="Arial" w:hAnsi="Arial"/>
          <w:b/>
          <w:bCs/>
          <w:i w:val="false"/>
          <w:iCs w:val="false"/>
          <w:sz w:val="22"/>
          <w:szCs w:val="22"/>
        </w:rPr>
        <w:t xml:space="preserve">Administrator</w:t>
      </w:r>
      <w:r>
        <w:rPr>
          <w:rFonts w:ascii="Arial" w:cs="Arial" w:eastAsia="Arial" w:hAnsi="Arial"/>
          <w:b w:val="false"/>
          <w:bCs w:val="false"/>
          <w:i w:val="false"/>
          <w:iCs w:val="false"/>
          <w:sz w:val="22"/>
          <w:szCs w:val="22"/>
        </w:rPr>
        <w:t xml:space="preserve"> — No type-specific custom fields anticipated beyond shared and CBM internal fields.</w:t>
      </w:r>
    </w:p>
    <w:p>
      <w:pPr>
        <w:pStyle w:val="ListParagraph"/>
        <w:numPr>
          <w:ilvl w:val="0"/>
          <w:numId w:val="2"/>
        </w:numPr>
        <w:spacing w:after="60"/>
      </w:pPr>
      <w:r>
        <w:t>Presenter — Two dedicated fields (presenterBio and presenterTopics) are defined in Section 3.6. Additional Presenter-specific fields may be added if identified during remaining CR domain process definition.</w:t>
      </w:r>
    </w:p>
    <w:p>
      <w:pPr>
        <w:pStyle w:val="ListParagraph"/>
        <w:numPr>
          <w:ilvl w:val="0"/>
          <w:numId w:val="2"/>
        </w:numPr>
        <w:spacing w:after="60"/>
      </w:pPr>
      <w:r>
        <w:rPr>
          <w:rFonts w:ascii="Arial" w:cs="Arial" w:eastAsia="Arial" w:hAnsi="Arial"/>
          <w:b/>
          <w:bCs/>
          <w:i w:val="false"/>
          <w:iCs w:val="false"/>
          <w:sz w:val="22"/>
          <w:szCs w:val="22"/>
        </w:rPr>
        <w:t xml:space="preserve">Member</w:t>
      </w:r>
      <w:r>
        <w:rPr>
          <w:rFonts w:ascii="Arial" w:cs="Arial" w:eastAsia="Arial" w:hAnsi="Arial"/>
          <w:b w:val="false"/>
          <w:bCs w:val="false"/>
          <w:i w:val="false"/>
          <w:iCs w:val="false"/>
          <w:sz w:val="22"/>
          <w:szCs w:val="22"/>
        </w:rPr>
        <w:t xml:space="preserve"> — No custom fields defined. Member-specific fields (if any) will be defined during CR domain process definition.</w:t>
      </w:r>
    </w:p>
    <w:p>
      <w:r>
        <w:br w:type="page"/>
      </w:r>
    </w:p>
    <w:p>
      <w:pPr>
        <w:pStyle w:val="Heading2"/>
      </w:pPr>
      <w:r>
        <w:t xml:space="preserve">3.5 Marketing and Source Attribution</w:t>
      </w:r>
    </w:p>
    <w:p>
      <w:r>
        <w:t xml:space="preserve">The following fields support marketing operations, prospect contact lifecycle management, opt-out compliance, and application source attribution. They are defined by the CR-MARKETING Sub-Domain Overview (v1.0) and apply across contact types where relevant. The opt-out and engagement roll-up fields apply to any Contact who may be a marketing recipient (any contactType). The prospectStatus and sourceAttributionDetails fields are scoped to Client contacts but live on the Contact entity to support the marketing-funnel lifecycle that precedes Account creation for prospects without company information. Detailed visibility rules will be specified during YAML generation.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b/>
              </w:rPr>
              <w:t xml:space="preserve">prospectStatus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TBD — see CR-MARKETING-ISS-003</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CR-MARKETING SDO</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i/>
              </w:rPr>
              <w:t xml:space="preserve">Marketing-funnel state of an individual person. Tracks how the prospect is engaging with CBM marketing communications. Closes CON-ISS-001 with reframed scope: the original issue called for a client lifecycle field on Contact, but the correct answer is a marketing-funnel field on Contact paired with a client-relationship field (clientStatus) on Account. Stops being actively managed after the contact applies (terminal state: Converted, when the prospect is converted to an applicant via MN-INTAKE). Straw-man values pending CBM leadership: New Prospect, Engaged, Unresponsive, Converted, Opted Out. Domains: CR.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b/>
              </w:rPr>
              <w:t xml:space="preserve">sourceAttributionDetails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wysiwyg</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CR-MARKETING SDO</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i/>
              </w:rPr>
              <w:t xml:space="preserve">Supplementary unstructured detail beyond the structured howDidYouHearAboutCbm enum. Holds UTM parameters and referrer URLs when technical signals are available; the specific partner name when Partner Referral is selected; the specific event name when Workshop or Event is selected; staff notes from application review; and audit-trail entries when staff override prior values during MN-INTAKE review. Used for human review and attribution enrichment, not for structured reporting. Domains: CR.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b/>
              </w:rPr>
              <w:t xml:space="preserve">emailOptOut</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bool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false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CR-MARKETING SDO</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i/>
              </w:rPr>
              <w:t xml:space="preserve">Email marketing opt-out flag. Set by the inbound sync from the external marketing platform on unsubscribe events (the platform records unsubscribes from email-client-native unsubscribe headers, in-message links, and direct user actions, then pushes them to the CRM near-real-time). Once set, the email channel is suppressed for this Contact in all future syncs to the marketing platform. CAN-SPAM compliance signal. Domains: CR (all sub-domains with email outreach).</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b/>
              </w:rPr>
              <w:t xml:space="preserve">smsOptOut</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bool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false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CR-MARKETING SDO</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i/>
              </w:rPr>
              <w:t xml:space="preserve">SMS marketing opt-out flag. Separate from emailOptOut because the legal compliance regimes are different (TCPA for SMS, CAN-SPAM for email) and a contact may legitimately opt out of one channel but not the other. Set by the inbound sync from the external marketing platform on SMS unsubscribe events. Once set, the SMS channel is suppressed for this Contact in all future syncs. TCPA compliance signal. Domains: CR (all sub-domains with SMS outreach).</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b/>
              </w:rPr>
              <w:t xml:space="preserve">lastMarketingEngagement</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datetime</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CR-MARKETING SDO</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i/>
              </w:rPr>
              <w:t xml:space="preserve">Roll-up: timestamp of the most recent send, open, or click event for this Contact across all Campaigns. Workflow-updated from Campaign Engagement records. Used for prospect-level views, segmentation (e.g., "contacts not engaged in last 90 days"), and CR-REACTIVATE handoff signaling. Domains: CR.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b/>
              </w:rPr>
              <w:t xml:space="preserve">totalCampaignsSent</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int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0</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CR-MARKETING SDO</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i/>
              </w:rPr>
              <w:t xml:space="preserve">Roll-up: total count of Campaigns this Contact has been sent. Workflow-updated from Campaign Engagement records. Used for prospect-level engagement summaries and audience saturation analysis. Domains: CR.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b/>
              </w:rPr>
              <w:t xml:space="preserve">totalOpens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int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0</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CR-MARKETING SDO</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i/>
              </w:rPr>
              <w:t xml:space="preserve">Roll-up: total count of email opens by this Contact across all Campaigns. Workflow-updated from Campaign Engagement records. Email-only metric (SMS has no "open" event). Used for engagement scoring and segmentation. Domains: CR.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b/>
              </w:rPr>
              <w:t xml:space="preserve">totalClicks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int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0</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CR-MARKETING SDO</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i/>
              </w:rPr>
              <w:t xml:space="preserve">Roll-up: total count of link clicks by this Contact across all Campaigns. Workflow-updated from Campaign Engagement records. The strongest engagement signal in the roll-up set — a click indicates active interest beyond merely opening. Domains: CR.</w:t>
            </w:r>
          </w:p>
        </w:tc>
      </w:tr>
      <w:tr>
        <w:tc>
          <w:tcPr>
            <w:tcW w:type="dxa" w:w="2200"/>
          </w:tcPr>
          <w:p>
            <w:r>
              <w:t>lastConversionPushSentAt</w:t>
            </w:r>
          </w:p>
        </w:tc>
        <w:tc>
          <w:tcPr>
            <w:tcW w:type="dxa" w:w="1100"/>
          </w:tcPr>
          <w:p>
            <w:r>
              <w:t>datetime</w:t>
            </w:r>
          </w:p>
        </w:tc>
        <w:tc>
          <w:tcPr>
            <w:tcW w:type="dxa" w:w="800"/>
          </w:tcPr>
          <w:p>
            <w:r>
              <w:t>No</w:t>
            </w:r>
          </w:p>
        </w:tc>
        <w:tc>
          <w:tcPr>
            <w:tcW w:type="dxa" w:w="2400"/>
          </w:tcPr>
          <w:p>
            <w:r>
              <w:t>—</w:t>
            </w:r>
          </w:p>
        </w:tc>
        <w:tc>
          <w:tcPr>
            <w:tcW w:type="dxa" w:w="1000"/>
          </w:tcPr>
          <w:p>
            <w:r>
              <w:t>—</w:t>
            </w:r>
          </w:p>
        </w:tc>
        <w:tc>
          <w:tcPr>
            <w:tcW w:type="dxa" w:w="1860"/>
          </w:tcPr>
          <w:p>
            <w:r>
              <w:t>CON-FLD-003</w:t>
            </w:r>
          </w:p>
        </w:tc>
      </w:tr>
      <w:tr>
        <w:tc>
          <w:tcPr>
            <w:tcW w:type="dxa" w:w="9360"/>
            <w:gridSpan w:val="6"/>
          </w:tcPr>
          <w:p>
            <w:r>
              <w:t>Timestamp of the most recent conversion push sent to this contact. System-populated when a conversion-push campaign targets this contact. Supports conversion-push effectiveness comparison in CR-EVENTS-CONVERT. Source: CR-EVENTS-CONVERT v1.0. Domains: CR.</w:t>
            </w:r>
          </w:p>
        </w:tc>
      </w:tr>
      <w:tr>
        <w:tc>
          <w:tcPr>
            <w:tcW w:type="dxa" w:w="2200"/>
          </w:tcPr>
          <w:p>
            <w:r>
              <w:t>lastReactivationSentAt</w:t>
            </w:r>
          </w:p>
        </w:tc>
        <w:tc>
          <w:tcPr>
            <w:tcW w:type="dxa" w:w="1100"/>
          </w:tcPr>
          <w:p>
            <w:r>
              <w:t>datetime</w:t>
            </w:r>
          </w:p>
        </w:tc>
        <w:tc>
          <w:tcPr>
            <w:tcW w:type="dxa" w:w="800"/>
          </w:tcPr>
          <w:p>
            <w:r>
              <w:t>No</w:t>
            </w:r>
          </w:p>
        </w:tc>
        <w:tc>
          <w:tcPr>
            <w:tcW w:type="dxa" w:w="2400"/>
          </w:tcPr>
          <w:p>
            <w:r>
              <w:t>—</w:t>
            </w:r>
          </w:p>
        </w:tc>
        <w:tc>
          <w:tcPr>
            <w:tcW w:type="dxa" w:w="1000"/>
          </w:tcPr>
          <w:p>
            <w:r>
              <w:t>—</w:t>
            </w:r>
          </w:p>
        </w:tc>
        <w:tc>
          <w:tcPr>
            <w:tcW w:type="dxa" w:w="1860"/>
          </w:tcPr>
          <w:p>
            <w:r>
              <w:t>CON-FLD-004</w:t>
            </w:r>
          </w:p>
        </w:tc>
      </w:tr>
      <w:tr>
        <w:tc>
          <w:tcPr>
            <w:tcW w:type="dxa" w:w="9360"/>
            <w:gridSpan w:val="6"/>
          </w:tcPr>
          <w:p>
            <w:r>
              <w:t>Timestamp of the most recent reactivation outreach sent to this contact. System-populated when a reactivation campaign targets this contact. Source: CR-REACTIVATE Sub-Domain Overview v1.0. Domains: CR.</w:t>
            </w:r>
          </w:p>
        </w:tc>
      </w:tr>
    </w:tbl>
    <w:p>
      <w:pPr>
        <w:pStyle w:val="Heading2"/>
      </w:pPr>
      <w:r>
        <w:t>3.6 Presenter-Specific Fields</w:t>
      </w:r>
    </w:p>
    <w:p>
      <w:r>
        <w:t>The following custom fields are visible only when contactType has Presenter. All fields in this section use the dynamic logic visibility rule: contactType has Presenter.</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t>Field Name</w:t>
            </w:r>
          </w:p>
        </w:tc>
        <w:tc>
          <w:tcPr>
            <w:tcW w:type="dxa" w:w="1560"/>
          </w:tcPr>
          <w:p>
            <w:r>
              <w:t>Type</w:t>
            </w:r>
          </w:p>
        </w:tc>
        <w:tc>
          <w:tcPr>
            <w:tcW w:type="dxa" w:w="1560"/>
          </w:tcPr>
          <w:p>
            <w:r>
              <w:t>Required</w:t>
            </w:r>
          </w:p>
        </w:tc>
        <w:tc>
          <w:tcPr>
            <w:tcW w:type="dxa" w:w="1560"/>
          </w:tcPr>
          <w:p>
            <w:r>
              <w:t>Values</w:t>
            </w:r>
          </w:p>
        </w:tc>
        <w:tc>
          <w:tcPr>
            <w:tcW w:type="dxa" w:w="1560"/>
          </w:tcPr>
          <w:p>
            <w:r>
              <w:t>Default</w:t>
            </w:r>
          </w:p>
        </w:tc>
        <w:tc>
          <w:tcPr>
            <w:tcW w:type="dxa" w:w="1560"/>
          </w:tcPr>
          <w:p>
            <w:r>
              <w:t>ID</w:t>
            </w:r>
          </w:p>
        </w:tc>
      </w:tr>
      <w:tr>
        <w:tc>
          <w:tcPr>
            <w:tcW w:type="dxa" w:w="1560"/>
          </w:tcPr>
          <w:p>
            <w:r>
              <w:t>presenterBio</w:t>
            </w:r>
          </w:p>
        </w:tc>
        <w:tc>
          <w:tcPr>
            <w:tcW w:type="dxa" w:w="1560"/>
          </w:tcPr>
          <w:p>
            <w:r>
              <w:t>wysiwyg</w:t>
            </w:r>
          </w:p>
        </w:tc>
        <w:tc>
          <w:tcPr>
            <w:tcW w:type="dxa" w:w="1560"/>
          </w:tcPr>
          <w:p>
            <w:r>
              <w:t>No</w:t>
            </w:r>
          </w:p>
        </w:tc>
        <w:tc>
          <w:tcPr>
            <w:tcW w:type="dxa" w:w="1560"/>
          </w:tcPr>
          <w:p>
            <w:r>
              <w:t>—</w:t>
            </w:r>
          </w:p>
        </w:tc>
        <w:tc>
          <w:tcPr>
            <w:tcW w:type="dxa" w:w="1560"/>
          </w:tcPr>
          <w:p>
            <w:r>
              <w:t>—</w:t>
            </w:r>
          </w:p>
        </w:tc>
        <w:tc>
          <w:tcPr>
            <w:tcW w:type="dxa" w:w="1560"/>
          </w:tcPr>
          <w:p>
            <w:r>
              <w:t>CON-FLD-001</w:t>
            </w:r>
          </w:p>
        </w:tc>
      </w:tr>
      <w:tr>
        <w:tc>
          <w:tcPr>
            <w:tcW w:type="dxa" w:w="9360"/>
            <w:gridSpan w:val="6"/>
          </w:tcPr>
          <w:p>
            <w:r>
              <w:t>Free-form biographical text for Contact records acting as event presenters. Used to populate presenter sections in event communications and registration materials. Source: CR-EVENTS Sub-Domain Overview v1.0. Domains: CR.</w:t>
            </w:r>
          </w:p>
        </w:tc>
      </w:tr>
      <w:tr>
        <w:tc>
          <w:tcPr>
            <w:tcW w:type="dxa" w:w="1560"/>
          </w:tcPr>
          <w:p>
            <w:r>
              <w:t>presenterTopics</w:t>
            </w:r>
          </w:p>
        </w:tc>
        <w:tc>
          <w:tcPr>
            <w:tcW w:type="dxa" w:w="1560"/>
          </w:tcPr>
          <w:p>
            <w:r>
              <w:t>multiEnum</w:t>
            </w:r>
          </w:p>
        </w:tc>
        <w:tc>
          <w:tcPr>
            <w:tcW w:type="dxa" w:w="1560"/>
          </w:tcPr>
          <w:p>
            <w:r>
              <w:t>No</w:t>
            </w:r>
          </w:p>
        </w:tc>
        <w:tc>
          <w:tcPr>
            <w:tcW w:type="dxa" w:w="1560"/>
          </w:tcPr>
          <w:p>
            <w:r>
              <w:t>TBD (to be defined during CR-EVENTS process work or Entity PRD revision)</w:t>
            </w:r>
          </w:p>
        </w:tc>
        <w:tc>
          <w:tcPr>
            <w:tcW w:type="dxa" w:w="1560"/>
          </w:tcPr>
          <w:p>
            <w:r>
              <w:t>—</w:t>
            </w:r>
          </w:p>
        </w:tc>
        <w:tc>
          <w:tcPr>
            <w:tcW w:type="dxa" w:w="1560"/>
          </w:tcPr>
          <w:p>
            <w:r>
              <w:t>CON-FLD-002</w:t>
            </w:r>
          </w:p>
        </w:tc>
      </w:tr>
      <w:tr>
        <w:tc>
          <w:tcPr>
            <w:tcW w:type="dxa" w:w="9360"/>
            <w:gridSpan w:val="6"/>
          </w:tcPr>
          <w:p>
            <w:r>
              <w:t>The topics or subject areas in which this presenter has expertise. Aligned with the Event.topic enum. Used for matching presenters to events and for event search filtering. Source: CR-EVENTS Sub-Domain Overview v1.0. Domains: CR.</w:t>
            </w:r>
          </w:p>
        </w:tc>
      </w:tr>
    </w:tbl>
    <w:p/>
    <w:p>
      <w:pPr>
        <w:pStyle w:val="Heading1"/>
        <w:spacing w:after="120" w:before="360"/>
      </w:pPr>
      <w:r>
        <w:rPr>
          <w:rFonts w:ascii="Arial" w:cs="Arial" w:eastAsia="Arial" w:hAnsi="Arial"/>
          <w:b/>
          <w:bCs/>
          <w:i w:val="false"/>
          <w:iCs w:val="false"/>
          <w:color w:val="1F3864"/>
          <w:sz w:val="32"/>
          <w:szCs w:val="32"/>
        </w:rPr>
        <w:t xml:space="preserve">4. Relationships</w:t>
      </w:r>
    </w:p>
    <w:p>
      <w:pPr>
        <w:spacing w:after="120"/>
      </w:pPr>
      <w:r>
        <w:rPr>
          <w:rFonts w:ascii="Arial" w:cs="Arial" w:eastAsia="Arial" w:hAnsi="Arial"/>
          <w:b w:val="false"/>
          <w:bCs w:val="false"/>
          <w:i w:val="false"/>
          <w:iCs w:val="false"/>
          <w:sz w:val="22"/>
          <w:szCs w:val="22"/>
        </w:rPr>
        <w:t xml:space="preserve">All relationships involving the Contact entity, compiled from all domains. Relationship implementation details (link names, labels) will be finalized during YAML generation.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1400"/>
        <w:gridCol w:w="1700"/>
        <w:gridCol w:w="1860"/>
      </w:tblGrid>
      <w:tr>
        <w:tc>
          <w:tcPr>
            <w:tcW w:type="dxa" w:w="26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Relationship</w:t>
            </w:r>
          </w:p>
        </w:tc>
        <w:tc>
          <w:tcPr>
            <w:tcW w:type="dxa" w:w="1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Related Entity</w:t>
            </w:r>
          </w:p>
        </w:tc>
        <w:tc>
          <w:tcPr>
            <w:tcW w:type="dxa" w:w="1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Link Type</w:t>
            </w:r>
          </w:p>
        </w:tc>
        <w:tc>
          <w:tcPr>
            <w:tcW w:type="dxa" w:w="17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PRD Reference</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Domain(s)</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Contact → Account</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manyToMany</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Native relationship</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 CR, FU</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Assigned Mentor → Engagement</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Engagement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MN-MATCH-DAT-019</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Additional Mentors → Engagement</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Engagement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manyToMany</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MN-ENGAGE-DAT-015</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Engagement Contacts → Engagement</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Engagement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manyToMany</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MN-MATCH-DAT-021</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Primary Engagement Contact → Engagement</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Engagement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MN-INTAKE-DAT-020</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Mentor Attendees → Session</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Session</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manyToMany</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MN-ENGAGE-DAT-034</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Client Attendees → Session</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Session</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manyToMany</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MN-ENGAGE-DAT-035</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Mentor → Dues</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Dues</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MR-MANAGE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MR</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Requesting Mentor → SME Request</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SME Request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MR entity</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MR</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Assigned SME → SME Request</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SME Request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MR entity</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MR</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sz w:val="22"/>
          <w:szCs w:val="22"/>
        </w:rPr>
        <w:t xml:space="preserve">Note on Primary Contact: </w:t>
      </w:r>
      <w:r>
        <w:rPr>
          <w:rFonts w:ascii="Arial" w:cs="Arial" w:eastAsia="Arial" w:hAnsi="Arial"/>
          <w:b w:val="false"/>
          <w:bCs w:val="false"/>
          <w:i w:val="false"/>
          <w:iCs w:val="false"/>
          <w:sz w:val="22"/>
          <w:szCs w:val="22"/>
        </w:rPr>
        <w:t xml:space="preserve">The “Primary Contact” designation (MN-INTAKE-DAT-016) is implemented as a bool on the Contact-to-Account relationship, not as a field on the Contact entity. This allows a single Contact to be the primary contact for one Account but not for another. The relationship-level implementation is defined in the Account Entity PRD.</w:t>
      </w:r>
    </w:p>
    <w:p>
      <w:pPr>
        <w:spacing w:after="120"/>
      </w:pPr>
      <w:r>
        <w:rPr>
          <w:rFonts w:ascii="Arial" w:cs="Arial" w:eastAsia="Arial" w:hAnsi="Arial"/>
          <w:b/>
          <w:bCs/>
          <w:i w:val="false"/>
          <w:iCs w:val="false"/>
          <w:sz w:val="22"/>
          <w:szCs w:val="22"/>
        </w:rPr>
        <w:t xml:space="preserve">Anticipated future relationships: </w:t>
      </w:r>
      <w:r>
        <w:rPr>
          <w:rFonts w:ascii="Arial" w:cs="Arial" w:eastAsia="Arial" w:hAnsi="Arial"/>
          <w:b w:val="false"/>
          <w:bCs w:val="false"/>
          <w:i w:val="false"/>
          <w:iCs w:val="false"/>
          <w:sz w:val="22"/>
          <w:szCs w:val="22"/>
        </w:rPr>
        <w:t xml:space="preserve">Contact → Event Registration (CR domain), Contact → Event as Presenter (CR domain), Contact → Contribution as Donor (FU domain), Contact → Fundraising Campaign (FU domain). These will be defined when their respective domain process documents are completed.</w:t>
      </w:r>
    </w:p>
    <w:p>
      <w:r>
        <w:br w:type="page"/>
      </w:r>
    </w:p>
    <w:p>
      <w:pPr>
        <w:pStyle w:val="Heading1"/>
        <w:spacing w:after="120" w:before="360"/>
      </w:pPr>
      <w:r>
        <w:rPr>
          <w:rFonts w:ascii="Arial" w:cs="Arial" w:eastAsia="Arial" w:hAnsi="Arial"/>
          <w:b/>
          <w:bCs/>
          <w:i w:val="false"/>
          <w:iCs w:val="false"/>
          <w:color w:val="1F3864"/>
          <w:sz w:val="32"/>
          <w:szCs w:val="32"/>
        </w:rPr>
        <w:t xml:space="preserve">5. Dynamic Logic Rules</w:t>
      </w:r>
    </w:p>
    <w:p>
      <w:pPr>
        <w:spacing w:after="120"/>
      </w:pPr>
      <w:r>
        <w:rPr>
          <w:rFonts w:ascii="Arial" w:cs="Arial" w:eastAsia="Arial" w:hAnsi="Arial"/>
          <w:b w:val="false"/>
          <w:bCs w:val="false"/>
          <w:i w:val="false"/>
          <w:iCs w:val="false"/>
          <w:sz w:val="22"/>
          <w:szCs w:val="22"/>
        </w:rPr>
        <w:t xml:space="preserve">Dynamic logic visibility rules control which fields and panels are visible based on the contactType discriminator. Because contactType is a multiEnum, rules use the "has" operator — a Contact with contactType = [Mentor, Presenter] would see both Mentor-specific and Presenter-specific fields.</w:t>
      </w:r>
    </w:p>
    <w:p>
      <w:pPr>
        <w:pStyle w:val="Heading2"/>
        <w:spacing w:after="120" w:before="240"/>
      </w:pPr>
      <w:r>
        <w:rPr>
          <w:rFonts w:ascii="Arial" w:cs="Arial" w:eastAsia="Arial" w:hAnsi="Arial"/>
          <w:b/>
          <w:bCs/>
          <w:i w:val="false"/>
          <w:iCs w:val="false"/>
          <w:color w:val="1F3864"/>
          <w:sz w:val="28"/>
          <w:szCs w:val="28"/>
        </w:rPr>
        <w:t xml:space="preserve">5.1 CBM Internal Types</w:t>
      </w:r>
    </w:p>
    <w:p>
      <w:pPr>
        <w:spacing w:after="120"/>
      </w:pPr>
      <w:r>
        <w:rPr>
          <w:rFonts w:ascii="Arial" w:cs="Arial" w:eastAsia="Arial" w:hAnsi="Arial"/>
          <w:b/>
          <w:bCs/>
          <w:i w:val="false"/>
          <w:iCs w:val="false"/>
          <w:sz w:val="22"/>
          <w:szCs w:val="22"/>
        </w:rPr>
        <w:t xml:space="preserve">Condition: </w:t>
      </w:r>
      <w:r>
        <w:rPr>
          <w:rFonts w:ascii="Arial" w:cs="Arial" w:eastAsia="Arial" w:hAnsi="Arial"/>
          <w:b w:val="false"/>
          <w:bCs w:val="false"/>
          <w:i w:val="false"/>
          <w:iCs w:val="false"/>
          <w:sz w:val="22"/>
          <w:szCs w:val="22"/>
        </w:rPr>
        <w:t xml:space="preserve">contactType has Mentor OR contactType has Member OR contactType has Administrator OR contactType has Presenter</w:t>
      </w:r>
    </w:p>
    <w:p>
      <w:pPr>
        <w:spacing w:after="120"/>
      </w:pPr>
      <w:r>
        <w:rPr>
          <w:rFonts w:ascii="Arial" w:cs="Arial" w:eastAsia="Arial" w:hAnsi="Arial"/>
          <w:b/>
          <w:bCs/>
          <w:i w:val="false"/>
          <w:iCs w:val="false"/>
          <w:sz w:val="22"/>
          <w:szCs w:val="22"/>
        </w:rPr>
        <w:t xml:space="preserve">Show: </w:t>
      </w:r>
      <w:r>
        <w:rPr>
          <w:rFonts w:ascii="Arial" w:cs="Arial" w:eastAsia="Arial" w:hAnsi="Arial"/>
          <w:b w:val="false"/>
          <w:bCs w:val="false"/>
          <w:i w:val="false"/>
          <w:iCs w:val="false"/>
          <w:sz w:val="22"/>
          <w:szCs w:val="22"/>
        </w:rPr>
        <w:t xml:space="preserve">boardPosition</w:t>
      </w:r>
    </w:p>
    <w:p>
      <w:pPr>
        <w:pStyle w:val="Heading2"/>
        <w:spacing w:after="120" w:before="240"/>
      </w:pPr>
      <w:r>
        <w:rPr>
          <w:rFonts w:ascii="Arial" w:cs="Arial" w:eastAsia="Arial" w:hAnsi="Arial"/>
          <w:b/>
          <w:bCs/>
          <w:i w:val="false"/>
          <w:iCs w:val="false"/>
          <w:color w:val="1F3864"/>
          <w:sz w:val="28"/>
          <w:szCs w:val="28"/>
        </w:rPr>
        <w:t xml:space="preserve">5.2 Mentor (contactType has Mentor)</w:t>
      </w:r>
    </w:p>
    <w:p>
      <w:pPr>
        <w:spacing w:after="120"/>
      </w:pPr>
      <w:r>
        <w:rPr>
          <w:rFonts w:ascii="Arial" w:cs="Arial" w:eastAsia="Arial" w:hAnsi="Arial"/>
          <w:b/>
          <w:bCs/>
          <w:i w:val="false"/>
          <w:iCs w:val="false"/>
          <w:sz w:val="22"/>
          <w:szCs w:val="22"/>
        </w:rPr>
        <w:t xml:space="preserve">Condition: </w:t>
      </w:r>
      <w:r>
        <w:rPr>
          <w:rFonts w:ascii="Arial" w:cs="Arial" w:eastAsia="Arial" w:hAnsi="Arial"/>
          <w:b w:val="false"/>
          <w:bCs w:val="false"/>
          <w:i w:val="false"/>
          <w:iCs w:val="false"/>
          <w:sz w:val="22"/>
          <w:szCs w:val="22"/>
        </w:rPr>
        <w:t xml:space="preserve">contactType has Mentor</w:t>
      </w:r>
    </w:p>
    <w:p>
      <w:pPr>
        <w:spacing w:after="120"/>
      </w:pPr>
      <w:r>
        <w:rPr>
          <w:rFonts w:ascii="Arial" w:cs="Arial" w:eastAsia="Arial" w:hAnsi="Arial"/>
          <w:b/>
          <w:bCs/>
          <w:i w:val="false"/>
          <w:iCs w:val="false"/>
          <w:sz w:val="22"/>
          <w:szCs w:val="22"/>
        </w:rPr>
        <w:t xml:space="preserve">Show all fields in Section 3.3: </w:t>
      </w:r>
      <w:r>
        <w:rPr>
          <w:rFonts w:ascii="Arial" w:cs="Arial" w:eastAsia="Arial" w:hAnsi="Arial"/>
          <w:b w:val="false"/>
          <w:bCs w:val="false"/>
          <w:i w:val="false"/>
          <w:iCs w:val="false"/>
          <w:sz w:val="22"/>
          <w:szCs w:val="22"/>
        </w:rPr>
        <w:t xml:space="preserve">mentorStatus, acceptingNewClients, maximumClientCapacity, currentActiveClients, availableCapacity, personalEmail, cbmEmailAddress, currentEmployer, currentlyEmployed, yearsOfBusinessExperience, professionalBio, industrySectors, mentoringFocusAreas, skillsExpertiseTags, fluentLanguages, whyInterestedInMentoring, isPrimaryMentor, isCoMentor, isSubjectMatterExpert, ethicsAgreementAccepted, ethicsAgreementAcceptanceDateTime, backgroundCheckCompleted, backgroundCheckDate, felonyConvictionDisclosure, trainingCompleted, trainingCompletionDate, duesStatus, duesPaymentDate, duesRenewalDate, applicationDeclineReason, totalLifetimeSessions, totalMentoringHours, totalSessionsLast30Days, departureReason, departureDate</w:t>
      </w:r>
    </w:p>
    <w:p>
      <w:pPr>
        <w:pStyle w:val="Heading2"/>
        <w:spacing w:after="120" w:before="240"/>
      </w:pPr>
      <w:r>
        <w:rPr>
          <w:rFonts w:ascii="Arial" w:cs="Arial" w:eastAsia="Arial" w:hAnsi="Arial"/>
          <w:b/>
          <w:bCs/>
          <w:i w:val="false"/>
          <w:iCs w:val="false"/>
          <w:color w:val="1F3864"/>
          <w:sz w:val="28"/>
          <w:szCs w:val="28"/>
        </w:rPr>
        <w:t xml:space="preserve">5.3 Additional Mentor Conditional Rules</w:t>
      </w:r>
    </w:p>
    <w:p>
      <w:pPr>
        <w:spacing w:after="120"/>
      </w:pPr>
      <w:r>
        <w:rPr>
          <w:rFonts w:ascii="Arial" w:cs="Arial" w:eastAsia="Arial" w:hAnsi="Arial"/>
          <w:b w:val="false"/>
          <w:bCs w:val="false"/>
          <w:i w:val="false"/>
          <w:iCs w:val="false"/>
          <w:sz w:val="22"/>
          <w:szCs w:val="22"/>
        </w:rPr>
        <w:t xml:space="preserve">Within the Mentor-specific fields, the following fields have secondary visibility conditions:</w:t>
      </w:r>
    </w:p>
    <w:p>
      <w:pPr>
        <w:pStyle w:val="ListParagraph"/>
        <w:numPr>
          <w:ilvl w:val="0"/>
          <w:numId w:val="2"/>
        </w:numPr>
        <w:spacing w:after="60"/>
      </w:pPr>
      <w:r>
        <w:rPr>
          <w:rFonts w:ascii="Arial" w:cs="Arial" w:eastAsia="Arial" w:hAnsi="Arial"/>
          <w:b/>
          <w:bCs/>
          <w:i w:val="false"/>
          <w:iCs w:val="false"/>
          <w:sz w:val="22"/>
          <w:szCs w:val="22"/>
        </w:rPr>
        <w:t xml:space="preserve">applicationDeclineReason</w:t>
      </w:r>
      <w:r>
        <w:rPr>
          <w:rFonts w:ascii="Arial" w:cs="Arial" w:eastAsia="Arial" w:hAnsi="Arial"/>
          <w:b w:val="false"/>
          <w:bCs w:val="false"/>
          <w:i w:val="false"/>
          <w:iCs w:val="false"/>
          <w:sz w:val="22"/>
          <w:szCs w:val="22"/>
        </w:rPr>
        <w:t xml:space="preserve"> — visible only when mentorStatus = Declined</w:t>
      </w:r>
    </w:p>
    <w:p>
      <w:pPr>
        <w:numPr>
          <w:ilvl w:val="0"/>
          <w:numId w:val="2"/>
        </w:numPr>
        <w:spacing w:after="60"/>
      </w:pPr>
      <w:r>
        <w:rPr>
          <w:rFonts w:ascii="Arial" w:cs="Arial" w:eastAsia="Arial" w:hAnsi="Arial"/>
          <w:b/>
          <w:bCs/>
          <w:i w:val="false"/>
          <w:iCs w:val="false"/>
          <w:sz w:val="22"/>
          <w:szCs w:val="22"/>
        </w:rPr>
        <w:t xml:space="preserve">departureReason, departureDate</w:t>
      </w:r>
      <w:r>
        <w:rPr>
          <w:rFonts w:ascii="Arial" w:cs="Arial" w:eastAsia="Arial" w:hAnsi="Arial"/>
          <w:b w:val="false"/>
          <w:bCs w:val="false"/>
          <w:i w:val="false"/>
          <w:iCs w:val="false"/>
          <w:sz w:val="22"/>
          <w:szCs w:val="22"/>
        </w:rPr>
        <w:t xml:space="preserve"> — visible only when mentorStatus in [Resigned, Departed]</w:t>
      </w:r>
    </w:p>
    <w:p>
      <w:pPr>
        <w:pStyle w:val="Heading2"/>
        <w:spacing w:after="120" w:before="240"/>
      </w:pPr>
      <w:r>
        <w:rPr>
          <w:rFonts w:ascii="Arial" w:cs="Arial" w:eastAsia="Arial" w:hAnsi="Arial"/>
          <w:b/>
          <w:bCs/>
          <w:i w:val="false"/>
          <w:iCs w:val="false"/>
          <w:color w:val="1F3864"/>
          <w:sz w:val="28"/>
          <w:szCs w:val="28"/>
        </w:rPr>
        <w:t xml:space="preserve">5.4 Client (contactType has Client)</w:t>
      </w:r>
    </w:p>
    <w:p>
      <w:pPr>
        <w:spacing w:after="120"/>
      </w:pPr>
      <w:r>
        <w:rPr>
          <w:rFonts w:ascii="Arial" w:cs="Arial" w:eastAsia="Arial" w:hAnsi="Arial"/>
          <w:b w:val="false"/>
          <w:bCs w:val="false"/>
          <w:i w:val="false"/>
          <w:iCs w:val="false"/>
          <w:sz w:val="22"/>
          <w:szCs w:val="22"/>
        </w:rPr>
        <w:t xml:space="preserve">No Client-specific custom fields are defined yet. When the Client lifecycle field is defined (CON-ISS-001), it will require a visibility rule: contactType has Client.</w:t>
      </w:r>
    </w:p>
    <w:p>
      <w:pPr>
        <w:pStyle w:val="Heading2"/>
        <w:spacing w:after="120" w:before="240"/>
      </w:pPr>
      <w:r>
        <w:rPr>
          <w:rFonts w:ascii="Arial" w:cs="Arial" w:eastAsia="Arial" w:hAnsi="Arial"/>
          <w:b/>
          <w:bCs/>
          <w:i w:val="false"/>
          <w:iCs w:val="false"/>
          <w:color w:val="1F3864"/>
          <w:sz w:val="28"/>
          <w:szCs w:val="28"/>
        </w:rPr>
        <w:t xml:space="preserve">5.5 Partner (contactType has Partner)</w:t>
      </w:r>
    </w:p>
    <w:p>
      <w:pPr>
        <w:spacing w:after="120"/>
      </w:pPr>
      <w:r>
        <w:rPr>
          <w:rFonts w:ascii="Arial" w:cs="Arial" w:eastAsia="Arial" w:hAnsi="Arial"/>
          <w:b w:val="false"/>
          <w:bCs w:val="false"/>
          <w:i w:val="false"/>
          <w:iCs w:val="false"/>
          <w:sz w:val="22"/>
          <w:szCs w:val="22"/>
        </w:rPr>
        <w:t xml:space="preserve">No Partner-specific custom fields are defined. CON-ISS-002 is closed: partner lifecycle is tracked at the Account level via partnerStatus, so no Partner lifecycle field on Contact is needed. If other Partner-specific fields are identified during remaining CR domain process definition, dynamic logic visibility rules (contactType has Partner) will be added at that time.</w:t>
      </w:r>
    </w:p>
    <w:p>
      <w:pPr>
        <w:pStyle w:val="Heading2"/>
        <w:spacing w:after="120" w:before="240"/>
      </w:pPr>
      <w:r>
        <w:rPr>
          <w:rFonts w:ascii="Arial" w:cs="Arial" w:eastAsia="Arial" w:hAnsi="Arial"/>
          <w:b/>
          <w:bCs/>
          <w:i w:val="false"/>
          <w:iCs w:val="false"/>
          <w:color w:val="1F3864"/>
          <w:sz w:val="28"/>
          <w:szCs w:val="28"/>
        </w:rPr>
        <w:t xml:space="preserve">5.6 Donor (contactType has Donor)</w:t>
      </w:r>
    </w:p>
    <w:p>
      <w:pPr>
        <w:spacing w:after="120"/>
      </w:pPr>
      <w:r>
        <w:rPr>
          <w:rFonts w:ascii="Arial" w:cs="Arial" w:eastAsia="Arial" w:hAnsi="Arial"/>
          <w:b w:val="false"/>
          <w:bCs w:val="false"/>
          <w:i w:val="false"/>
          <w:iCs w:val="false"/>
          <w:sz w:val="22"/>
          <w:szCs w:val="22"/>
        </w:rPr>
        <w:t xml:space="preserve">No Donor-specific custom fields are defined yet. When the Donor lifecycle field is defined (CON-ISS-003), it will require a visibility rule: contactType has Donor.</w:t>
      </w:r>
    </w:p>
    <w:p>
      <w:pPr>
        <w:pStyle w:val="Heading2"/>
        <w:spacing w:after="120" w:before="240"/>
      </w:pPr>
      <w:r>
        <w:rPr>
          <w:rFonts w:ascii="Arial" w:cs="Arial" w:eastAsia="Arial" w:hAnsi="Arial"/>
          <w:b/>
          <w:bCs/>
          <w:i w:val="false"/>
          <w:iCs w:val="false"/>
          <w:color w:val="1F3864"/>
          <w:sz w:val="28"/>
          <w:szCs w:val="28"/>
        </w:rPr>
        <w:t xml:space="preserve">5.7 Administrator, Presenter, Member</w:t>
      </w:r>
    </w:p>
    <w:p>
      <w:pPr>
        <w:spacing w:after="120"/>
      </w:pPr>
      <w:r>
        <w:t>Presenter contacts now have two dedicated fields: presenterBio (wysiwyg) and presenterTopics (multiEnum), defined in Section 3.6. These fields use the dynamic logic visibility rule: contactType has Presenter. Administrator and Member have no type-specific custom fields beyond the CBM internal fields in Section 5.1. Dynamic logic rules for Administrator and Member will be added if type-specific fields are defined during CR domain process work.</w:t>
      </w:r>
    </w:p>
    <w:p>
      <w:r>
        <w:br w:type="page"/>
      </w:r>
    </w:p>
    <w:p>
      <w:pPr>
        <w:pStyle w:val="Heading1"/>
        <w:spacing w:after="120" w:before="360"/>
      </w:pPr>
      <w:r>
        <w:rPr>
          <w:rFonts w:ascii="Arial" w:cs="Arial" w:eastAsia="Arial" w:hAnsi="Arial"/>
          <w:b/>
          <w:bCs/>
          <w:i w:val="false"/>
          <w:iCs w:val="false"/>
          <w:color w:val="1F3864"/>
          <w:sz w:val="32"/>
          <w:szCs w:val="32"/>
        </w:rPr>
        <w:t xml:space="preserve">6. Layout Guidance</w:t>
      </w:r>
    </w:p>
    <w:p>
      <w:pPr>
        <w:spacing w:after="120"/>
      </w:pPr>
      <w:r>
        <w:rPr>
          <w:rFonts w:ascii="Arial" w:cs="Arial" w:eastAsia="Arial" w:hAnsi="Arial"/>
          <w:b w:val="false"/>
          <w:bCs w:val="false"/>
          <w:i w:val="false"/>
          <w:iCs w:val="false"/>
          <w:sz w:val="22"/>
          <w:szCs w:val="22"/>
        </w:rPr>
        <w:t xml:space="preserve">The following panel/tab grouping is a recommendation for the Contact detail view. Final layout is determined during YAML generation. Dynamic logic hides entire panels when the relevant contactType is not present.</w:t>
      </w:r>
    </w:p>
    <w:p>
      <w:pPr>
        <w:spacing w:after="120"/>
      </w:pPr>
      <w:r>
        <w:rPr>
          <w:rFonts w:ascii="Arial" w:cs="Arial" w:eastAsia="Arial" w:hAnsi="Arial"/>
          <w:b/>
          <w:bCs/>
          <w:i w:val="false"/>
          <w:iCs w:val="false"/>
          <w:color w:val="1F3864"/>
          <w:sz w:val="22"/>
          <w:szCs w:val="22"/>
        </w:rPr>
        <w:t xml:space="preserve">Overview Panel (always visible)</w:t>
      </w:r>
    </w:p>
    <w:p>
      <w:pPr>
        <w:spacing w:after="120"/>
      </w:pPr>
      <w:r>
        <w:rPr>
          <w:rFonts w:ascii="Arial" w:cs="Arial" w:eastAsia="Arial" w:hAnsi="Arial"/>
          <w:b w:val="false"/>
          <w:bCs w:val="false"/>
          <w:i w:val="false"/>
          <w:iCs w:val="false"/>
          <w:sz w:val="22"/>
          <w:szCs w:val="22"/>
        </w:rPr>
        <w:t xml:space="preserve">Native identity fields: salutationName, firstName, middleName, lastName, title. Custom shared fields: contactType, preferredName, linkedInProfile, howDidYouHearAboutCbm. Native contact fields: emailAddress, phoneNumber, address composite.</w:t>
      </w:r>
    </w:p>
    <w:p>
      <w:pPr>
        <w:spacing w:after="120"/>
      </w:pPr>
      <w:r>
        <w:rPr>
          <w:rFonts w:ascii="Arial" w:cs="Arial" w:eastAsia="Arial" w:hAnsi="Arial"/>
          <w:b/>
          <w:bCs/>
          <w:i w:val="false"/>
          <w:iCs w:val="false"/>
          <w:color w:val="1F3864"/>
          <w:sz w:val="22"/>
          <w:szCs w:val="22"/>
        </w:rPr>
        <w:t xml:space="preserve">Mentor Profile Panel (contactType has Mentor)</w:t>
      </w:r>
    </w:p>
    <w:p>
      <w:pPr>
        <w:spacing w:after="120"/>
      </w:pPr>
      <w:r>
        <w:rPr>
          <w:rFonts w:ascii="Arial" w:cs="Arial" w:eastAsia="Arial" w:hAnsi="Arial"/>
          <w:b w:val="false"/>
          <w:bCs w:val="false"/>
          <w:i w:val="false"/>
          <w:iCs w:val="false"/>
          <w:sz w:val="22"/>
          <w:szCs w:val="22"/>
        </w:rPr>
        <w:t xml:space="preserve">personalEmail, cbmEmailAddress, currentEmployer, currentlyEmployed, yearsOfBusinessExperience, professionalBio.</w:t>
      </w:r>
    </w:p>
    <w:p>
      <w:pPr>
        <w:spacing w:after="120"/>
      </w:pPr>
      <w:r>
        <w:rPr>
          <w:rFonts w:ascii="Arial" w:cs="Arial" w:eastAsia="Arial" w:hAnsi="Arial"/>
          <w:b/>
          <w:bCs/>
          <w:i w:val="false"/>
          <w:iCs w:val="false"/>
          <w:color w:val="1F3864"/>
          <w:sz w:val="22"/>
          <w:szCs w:val="22"/>
        </w:rPr>
        <w:t xml:space="preserve">Mentor Matching Panel (contactType has Mentor)</w:t>
      </w:r>
    </w:p>
    <w:p>
      <w:pPr>
        <w:spacing w:after="120"/>
      </w:pPr>
      <w:r>
        <w:rPr>
          <w:rFonts w:ascii="Arial" w:cs="Arial" w:eastAsia="Arial" w:hAnsi="Arial"/>
          <w:b w:val="false"/>
          <w:bCs w:val="false"/>
          <w:i w:val="false"/>
          <w:iCs w:val="false"/>
          <w:sz w:val="22"/>
          <w:szCs w:val="22"/>
        </w:rPr>
        <w:t xml:space="preserve">industrySectors, mentoringFocusAreas, skillsExpertiseTags, fluentLanguages.</w:t>
      </w:r>
    </w:p>
    <w:p>
      <w:pPr>
        <w:spacing w:after="120"/>
      </w:pPr>
      <w:r>
        <w:rPr>
          <w:rFonts w:ascii="Arial" w:cs="Arial" w:eastAsia="Arial" w:hAnsi="Arial"/>
          <w:b/>
          <w:bCs/>
          <w:i w:val="false"/>
          <w:iCs w:val="false"/>
          <w:color w:val="1F3864"/>
          <w:sz w:val="22"/>
          <w:szCs w:val="22"/>
        </w:rPr>
        <w:t xml:space="preserve">Mentor Status Panel (contactType has Mentor)</w:t>
      </w:r>
    </w:p>
    <w:p>
      <w:pPr>
        <w:spacing w:after="120"/>
      </w:pPr>
      <w:r>
        <w:rPr>
          <w:rFonts w:ascii="Arial" w:cs="Arial" w:eastAsia="Arial" w:hAnsi="Arial"/>
          <w:b w:val="false"/>
          <w:bCs w:val="false"/>
          <w:i w:val="false"/>
          <w:iCs w:val="false"/>
          <w:sz w:val="22"/>
          <w:szCs w:val="22"/>
        </w:rPr>
        <w:t xml:space="preserve">mentorStatus, acceptingNewClients, maximumClientCapacity, currentActiveClients, availableCapacity, isPrimaryMentor, isCoMentor, isSubjectMatterExpert.</w:t>
      </w:r>
    </w:p>
    <w:p>
      <w:pPr>
        <w:spacing w:after="120"/>
      </w:pPr>
      <w:r>
        <w:rPr>
          <w:rFonts w:ascii="Arial" w:cs="Arial" w:eastAsia="Arial" w:hAnsi="Arial"/>
          <w:b/>
          <w:bCs/>
          <w:i w:val="false"/>
          <w:iCs w:val="false"/>
          <w:color w:val="1F3864"/>
          <w:sz w:val="22"/>
          <w:szCs w:val="22"/>
        </w:rPr>
        <w:t xml:space="preserve">Mentor Onboarding Panel (contactType has Mentor)</w:t>
      </w:r>
    </w:p>
    <w:p>
      <w:pPr>
        <w:spacing w:after="120"/>
      </w:pPr>
      <w:r>
        <w:rPr>
          <w:rFonts w:ascii="Arial" w:cs="Arial" w:eastAsia="Arial" w:hAnsi="Arial"/>
          <w:b w:val="false"/>
          <w:bCs w:val="false"/>
          <w:i w:val="false"/>
          <w:iCs w:val="false"/>
          <w:sz w:val="22"/>
          <w:szCs w:val="22"/>
        </w:rPr>
        <w:t xml:space="preserve">ethicsAgreementAccepted, ethicsAgreementAcceptanceDateTime, backgroundCheckCompleted, backgroundCheckDate, felonyConvictionDisclosure, trainingCompleted, trainingCompletionDate, termsAndConditionsAccepted, termsAndConditionsAcceptanceDateTime, whyInterestedInMentoring.</w:t>
      </w:r>
    </w:p>
    <w:p>
      <w:pPr>
        <w:spacing w:after="120"/>
      </w:pPr>
      <w:r>
        <w:rPr>
          <w:rFonts w:ascii="Arial" w:cs="Arial" w:eastAsia="Arial" w:hAnsi="Arial"/>
          <w:b/>
          <w:bCs/>
          <w:i w:val="false"/>
          <w:iCs w:val="false"/>
          <w:color w:val="1F3864"/>
          <w:sz w:val="22"/>
          <w:szCs w:val="22"/>
        </w:rPr>
        <w:t xml:space="preserve">Mentor Dues Panel (contactType has Mentor)</w:t>
      </w:r>
    </w:p>
    <w:p>
      <w:pPr>
        <w:spacing w:after="120"/>
      </w:pPr>
      <w:r>
        <w:rPr>
          <w:rFonts w:ascii="Arial" w:cs="Arial" w:eastAsia="Arial" w:hAnsi="Arial"/>
          <w:b w:val="false"/>
          <w:bCs w:val="false"/>
          <w:i w:val="false"/>
          <w:iCs w:val="false"/>
          <w:sz w:val="22"/>
          <w:szCs w:val="22"/>
        </w:rPr>
        <w:t xml:space="preserve">duesStatus, duesPaymentDate, duesRenewalDate.</w:t>
      </w:r>
    </w:p>
    <w:p>
      <w:pPr>
        <w:spacing w:after="120"/>
      </w:pPr>
      <w:r>
        <w:rPr>
          <w:rFonts w:ascii="Arial" w:cs="Arial" w:eastAsia="Arial" w:hAnsi="Arial"/>
          <w:b/>
          <w:bCs/>
          <w:i w:val="false"/>
          <w:iCs w:val="false"/>
          <w:color w:val="1F3864"/>
          <w:sz w:val="22"/>
          <w:szCs w:val="22"/>
        </w:rPr>
        <w:t xml:space="preserve">Mentor Departure Panel (mentorStatus in [Resigned, Departed])</w:t>
      </w:r>
    </w:p>
    <w:p>
      <w:pPr>
        <w:spacing w:after="120"/>
      </w:pPr>
      <w:r>
        <w:rPr>
          <w:rFonts w:ascii="Arial" w:cs="Arial" w:eastAsia="Arial" w:hAnsi="Arial"/>
          <w:b w:val="false"/>
          <w:bCs w:val="false"/>
          <w:i w:val="false"/>
          <w:iCs w:val="false"/>
          <w:sz w:val="22"/>
          <w:szCs w:val="22"/>
        </w:rPr>
        <w:t xml:space="preserve">departureReason, departureDate.</w:t>
      </w:r>
    </w:p>
    <w:p>
      <w:pPr>
        <w:spacing w:after="120"/>
      </w:pPr>
      <w:r>
        <w:rPr>
          <w:rFonts w:ascii="Arial" w:cs="Arial" w:eastAsia="Arial" w:hAnsi="Arial"/>
          <w:b/>
          <w:bCs/>
          <w:i w:val="false"/>
          <w:iCs w:val="false"/>
          <w:color w:val="1F3864"/>
          <w:sz w:val="22"/>
          <w:szCs w:val="22"/>
        </w:rPr>
        <w:t xml:space="preserve">CBM Membership Panel (CBM internal types)</w:t>
      </w:r>
    </w:p>
    <w:p>
      <w:pPr>
        <w:spacing w:after="120"/>
      </w:pPr>
      <w:r>
        <w:rPr>
          <w:rFonts w:ascii="Arial" w:cs="Arial" w:eastAsia="Arial" w:hAnsi="Arial"/>
          <w:b w:val="false"/>
          <w:bCs w:val="false"/>
          <w:i w:val="false"/>
          <w:iCs w:val="false"/>
          <w:sz w:val="22"/>
          <w:szCs w:val="22"/>
        </w:rPr>
        <w:t xml:space="preserve">boardPosition.</w:t>
      </w:r>
    </w:p>
    <w:p>
      <w:r>
        <w:rPr>
          <w:b/>
        </w:rPr>
        <w:t xml:space="preserve">Marketing and Source Attribution Panel (always visible)</w:t>
      </w:r>
    </w:p>
    <w:p>
      <w:r>
        <w:t xml:space="preserve">prospectStatus, sourceAttributionDetails, emailOptOut, smsOptOut, lastMarketingEngagement, totalCampaignsSent, totalOpens, totalClicks. (prospectStatus and sourceAttributionDetails may be conditionally hidden for non-Client contact types via dynamic logic during YAML generation.)</w:t>
      </w:r>
    </w:p>
    <w:p>
      <w:pPr>
        <w:pStyle w:val="Heading1"/>
        <w:spacing w:after="120" w:before="360"/>
      </w:pPr>
      <w:r>
        <w:rPr>
          <w:rFonts w:ascii="Arial" w:cs="Arial" w:eastAsia="Arial" w:hAnsi="Arial"/>
          <w:b/>
          <w:bCs/>
          <w:i w:val="false"/>
          <w:iCs w:val="false"/>
          <w:color w:val="1F3864"/>
          <w:sz w:val="32"/>
          <w:szCs w:val="32"/>
        </w:rPr>
        <w:t xml:space="preserve">7. Implementation Notes</w:t>
      </w:r>
    </w:p>
    <w:p>
      <w:pPr>
        <w:spacing w:after="120"/>
      </w:pPr>
      <w:r>
        <w:rPr>
          <w:rFonts w:ascii="Arial" w:cs="Arial" w:eastAsia="Arial" w:hAnsi="Arial"/>
          <w:b/>
          <w:bCs/>
          <w:i w:val="false"/>
          <w:iCs w:val="false"/>
          <w:sz w:val="22"/>
          <w:szCs w:val="22"/>
        </w:rPr>
        <w:t xml:space="preserve">1. Calculated fields: </w:t>
      </w:r>
      <w:r>
        <w:rPr>
          <w:rFonts w:ascii="Arial" w:cs="Arial" w:eastAsia="Arial" w:hAnsi="Arial"/>
          <w:b w:val="false"/>
          <w:bCs w:val="false"/>
          <w:i w:val="false"/>
          <w:iCs w:val="false"/>
          <w:sz w:val="22"/>
          <w:szCs w:val="22"/>
        </w:rPr>
        <w:t xml:space="preserve">currentActiveClients is the count of Engagements where this Contact is the Assigned Mentor and Engagement Status is Active or Assigned. availableCapacity is maximumClientCapacity minus currentActiveClients. Both are system-calculated and read-only.</w:t>
      </w:r>
    </w:p>
    <w:p>
      <w:pPr>
        <w:spacing w:after="120"/>
      </w:pPr>
      <w:r>
        <w:rPr>
          <w:rFonts w:ascii="Arial" w:cs="Arial" w:eastAsia="Arial" w:hAnsi="Arial"/>
          <w:b/>
          <w:bCs/>
          <w:i w:val="false"/>
          <w:iCs w:val="false"/>
          <w:sz w:val="22"/>
          <w:szCs w:val="22"/>
        </w:rPr>
        <w:t xml:space="preserve">2. Field-level access control: </w:t>
      </w:r>
      <w:r>
        <w:rPr>
          <w:rFonts w:ascii="Arial" w:cs="Arial" w:eastAsia="Arial" w:hAnsi="Arial"/>
          <w:b w:val="false"/>
          <w:bCs w:val="false"/>
          <w:i w:val="false"/>
          <w:iCs w:val="false"/>
          <w:sz w:val="22"/>
          <w:szCs w:val="22"/>
        </w:rPr>
        <w:t xml:space="preserve">backgroundCheckCompleted, backgroundCheckDate, and felonyConvictionDisclosure are restricted to Mentor Administrator access only and hidden from the mentor’s own record view. duesStatus, duesPaymentDate, duesRenewalDate, departureReason, and departureDate are admin-only. ethicsAgreementAccepted is read-only for mentors.</w:t>
      </w:r>
    </w:p>
    <w:p>
      <w:pPr>
        <w:spacing w:after="120"/>
      </w:pPr>
      <w:r>
        <w:rPr>
          <w:rFonts w:ascii="Arial" w:cs="Arial" w:eastAsia="Arial" w:hAnsi="Arial"/>
          <w:b/>
          <w:bCs/>
          <w:i w:val="false"/>
          <w:iCs w:val="false"/>
          <w:sz w:val="22"/>
          <w:szCs w:val="22"/>
        </w:rPr>
        <w:t xml:space="preserve">3. System-populated fields: </w:t>
      </w:r>
      <w:r>
        <w:rPr>
          <w:rFonts w:ascii="Arial" w:cs="Arial" w:eastAsia="Arial" w:hAnsi="Arial"/>
          <w:b w:val="false"/>
          <w:bCs w:val="false"/>
          <w:i w:val="false"/>
          <w:iCs w:val="false"/>
          <w:sz w:val="22"/>
          <w:szCs w:val="22"/>
        </w:rPr>
        <w:t xml:space="preserve">termsAndConditionsAccepted and termsAndConditionsAcceptanceDateTime are populated from form submissions. trainingCompleted and trainingCompletionDate are populated via LMS integration but may also be manually set by the Mentor Administrator as a fallback. felonyConvictionDisclosure is populated from the application form. termsAndConditionsAccepted, termsAndConditionsAcceptanceDateTime, and felonyConvictionDisclosure should not be manually editable by end users.</w:t>
      </w:r>
    </w:p>
    <w:p>
      <w:pPr>
        <w:spacing w:after="120"/>
      </w:pPr>
      <w:r>
        <w:rPr>
          <w:rFonts w:ascii="Arial" w:cs="Arial" w:eastAsia="Arial" w:hAnsi="Arial"/>
          <w:b/>
          <w:bCs/>
          <w:i w:val="false"/>
          <w:iCs w:val="false"/>
          <w:sz w:val="22"/>
          <w:szCs w:val="22"/>
        </w:rPr>
        <w:t xml:space="preserve">4. Audited fields: </w:t>
      </w:r>
      <w:r>
        <w:rPr>
          <w:rFonts w:ascii="Arial" w:cs="Arial" w:eastAsia="Arial" w:hAnsi="Arial"/>
          <w:b w:val="false"/>
          <w:bCs w:val="false"/>
          <w:i w:val="false"/>
          <w:iCs w:val="false"/>
          <w:sz w:val="22"/>
          <w:szCs w:val="22"/>
        </w:rPr>
        <w:t xml:space="preserve">mentorStatus should be audited to maintain a complete transition history for compliance and reporting.</w:t>
      </w:r>
    </w:p>
    <w:p>
      <w:pPr>
        <w:spacing w:after="120"/>
      </w:pPr>
      <w:r>
        <w:rPr>
          <w:rFonts w:ascii="Arial" w:cs="Arial" w:eastAsia="Arial" w:hAnsi="Arial"/>
          <w:b/>
          <w:bCs/>
          <w:i w:val="false"/>
          <w:iCs w:val="false"/>
          <w:sz w:val="22"/>
          <w:szCs w:val="22"/>
        </w:rPr>
        <w:t xml:space="preserve">5. Multi-type contacts: </w:t>
      </w:r>
      <w:r>
        <w:rPr>
          <w:rFonts w:ascii="Arial" w:cs="Arial" w:eastAsia="Arial" w:hAnsi="Arial"/>
          <w:b w:val="false"/>
          <w:bCs w:val="false"/>
          <w:i w:val="false"/>
          <w:iCs w:val="false"/>
          <w:sz w:val="22"/>
          <w:szCs w:val="22"/>
        </w:rPr>
        <w:t xml:space="preserve">Because contactType is multiEnum, a Contact with multiple types sees the union of all type-specific fields. The layout should group fields by type panel so the UI remains organized when multiple types are active.</w:t>
      </w:r>
    </w:p>
    <w:p>
      <w:pPr>
        <w:spacing w:after="120"/>
      </w:pPr>
      <w:r>
        <w:rPr>
          <w:rFonts w:ascii="Arial" w:cs="Arial" w:eastAsia="Arial" w:hAnsi="Arial"/>
          <w:b/>
          <w:bCs/>
          <w:i w:val="false"/>
          <w:iCs w:val="false"/>
          <w:sz w:val="22"/>
          <w:szCs w:val="22"/>
        </w:rPr>
        <w:t xml:space="preserve">6. Native email handling: </w:t>
      </w:r>
      <w:r>
        <w:rPr>
          <w:rFonts w:ascii="Arial" w:cs="Arial" w:eastAsia="Arial" w:hAnsi="Arial"/>
          <w:b w:val="false"/>
          <w:bCs w:val="false"/>
          <w:i w:val="false"/>
          <w:iCs w:val="false"/>
          <w:sz w:val="22"/>
          <w:szCs w:val="22"/>
        </w:rPr>
        <w:t xml:space="preserve">Mentor contacts use personalEmail and cbmEmailAddress as separate custom fields rather than the native multi-email capability. The native emailAddress field remains available but is not the primary mechanism for Mentor email management. For all other contact types, the native emailAddress field is the primary email field.</w:t>
      </w:r>
    </w:p>
    <w:p>
      <w:pPr>
        <w:spacing w:after="120"/>
      </w:pPr>
      <w:r>
        <w:rPr>
          <w:rFonts w:ascii="Arial" w:cs="Arial" w:eastAsia="Arial" w:hAnsi="Arial"/>
          <w:b/>
          <w:bCs/>
          <w:i w:val="false"/>
          <w:iCs w:val="false"/>
          <w:sz w:val="22"/>
          <w:szCs w:val="22"/>
        </w:rPr>
        <w:t xml:space="preserve">7. Product name restriction: </w:t>
      </w:r>
      <w:r>
        <w:rPr>
          <w:rFonts w:ascii="Arial" w:cs="Arial" w:eastAsia="Arial" w:hAnsi="Arial"/>
          <w:b w:val="false"/>
          <w:bCs w:val="false"/>
          <w:i w:val="false"/>
          <w:iCs w:val="false"/>
          <w:sz w:val="22"/>
          <w:szCs w:val="22"/>
        </w:rPr>
        <w:t xml:space="preserve">This document is a Level 2 Entity PRD. No specific CRM product names appear in this document. All references to platform capabilities use generic terminology. Product-specific implementation details belong in YAML program files and implementation documentation only.</w:t>
      </w:r>
    </w:p>
    <w:p>
      <w:r>
        <w:br w:type="page"/>
      </w:r>
    </w:p>
    <w:p>
      <w:pPr>
        <w:pStyle w:val="Heading1"/>
        <w:spacing w:after="120" w:before="360"/>
      </w:pPr>
      <w:r>
        <w:rPr>
          <w:rFonts w:ascii="Arial" w:cs="Arial" w:eastAsia="Arial" w:hAnsi="Arial"/>
          <w:b/>
          <w:bCs/>
          <w:i w:val="false"/>
          <w:iCs w:val="false"/>
          <w:color w:val="1F3864"/>
          <w:sz w:val="32"/>
          <w:szCs w:val="32"/>
        </w:rPr>
        <w:t xml:space="preserve">8. Open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7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Issue</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CON-ISS-001</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t>CLOSED (v1.3): Resolved by the prospectStatus field added in Section 3.5 by the CR-MARKETING Sub-Domain Overview. The original issue called for a client lifecycle field on Contact analogous to mentorStatus, but the correct answer is a marketing-funnel field (prospectStatus) on Contact paired with a client-relationship field (clientStatus) on Account. The two fields measure different things: prospectStatus tracks the marketing-funnel state of a person; clientStatus tracks the client-relationship state of a company. The split correctly handles the multi-contact-per-engagement case and the Account-less prospect case (pre-startup contacts with no company yet).</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CON-ISS-002</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CLOSED (v1.2): Partner lifecycle is tracked at the Account level via partnerStatus, not at the Contact level. No Partner-specific lifecycle field is needed on Contact. Resolved during CR-PARTNER Sub-Domain Overview session and applied per CR-PARTNER-MANAGE updates.</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CON-ISS-003</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Donor lifecycle field not yet defined. The Master PRD describes donor/sponsor pipeline stages (Prospect, Contacted, In Discussion, Committed, Active, Lapsed, Closed). The lifecycle stages and field definition will be established during FU domain process definition. Carried forward from EI-ISS-006.</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CON-ISS-004</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Incomplete domain coverage for Contact entity. The MR, CR, and FU domains have only summary-level data. This Entity PRD will require updates when those domain process documents are completed. Additional type-specific custom fields, relationships, and dynamic logic rules are expected. Carried forward from EI-ISS-008.</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CON-ISS-005</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Focus Areas: complete list of allowed values not defined. Must align between the Engagement-level field and the Mentor Contact field. Carried forward from MN-INTAKE-ISS-001.</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CON-ISS-006</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Skills and Expertise Tags: values not yet defined by CBM leadership. Carried forward from MR-ISS-001.</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CON-ISS-007</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Fluent Languages: values not yet defined by CBM leadership. Carried forward from MR-ISS-002.</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CON-ISS-008</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CLOSED (v1.3): Resolved by the CR-MARKETING Sub-Domain Overview. The howDidYouHearAboutCbm enum has 10 values: Partner Referral, Workshop or Event, Email Marketing, Social Media, Search Engine, CBM Website, News or Media, Personal Referral, Returning Client, Other. Values map to CR sub-domains for channel effectiveness rollup reporting.</w:t>
            </w:r>
          </w:p>
        </w:tc>
      </w:tr>
    </w:tbl>
    <w:p>
      <w:pPr>
        <w:pStyle w:val="Heading1"/>
        <w:spacing w:after="120" w:before="360"/>
      </w:pPr>
      <w:r>
        <w:rPr>
          <w:rFonts w:ascii="Arial" w:cs="Arial" w:eastAsia="Arial" w:hAnsi="Arial"/>
          <w:b/>
          <w:bCs/>
          <w:i w:val="false"/>
          <w:iCs w:val="false"/>
          <w:color w:val="1F3864"/>
          <w:sz w:val="32"/>
          <w:szCs w:val="32"/>
        </w:rPr>
        <w:t xml:space="preserve">9. Decisions Made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7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Decision</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CON-DEC-001</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Primary Contact is a bool on the Contact-to-Account relationship, not a field on the Contact entity. A single Contact can be the primary contact for one Account but not for another. Implementation details defined in the Account Entity PRD.</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CON-DEC-002</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Native title field treated as shared across all contact types. No dynamic logic visibility required. Maps to Professional Title from the MR domain.</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CON-DEC-003</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preferredName and linkedInProfile are shared fields, not type-specific. Applicable to all contact types.</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CON-DEC-004</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 email addresses implemented as two separate custom fields (personalEmail, cbmEmailAddress) rather than using the native multi-email capability. The distinction matters operationally for onboarding vs. mentoring communications and departure cleanup.</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CON-DEC-005</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termsAndConditionsAccepted and termsAndConditionsAcceptanceDateTime are shared fields (not Mentor-specific) for portal readiness. Currently populated only for Mentors; will be used for all contact types when a client portal is implemented.</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CON-DEC-006</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howDidYouHearAboutCbm is shared across all contact types. Both MR and CR domains reference recording how contacts heard about CBM. A single shared field supports unified referral channel reporting.</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CON-DEC-007</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boardPosition is visible for CBM organizational member types (Mentor, Member, Administrator, Presenter) and hidden for external relationship types (Client, Partner, Donor). Board membership requires being a CBM organizational member.</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CON-DEC-008</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 Status has ten values: Prospect, Submitted, In Review, Provisional, Active, Paused, Inactive, Resigned, Departed, Declined. Prospect was added to the nine values from the MN Domain PRD based on Entity Inventory confirmation (EI-ISS-003).</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CON-DEC-009</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Zip Code maps to native addressPostalCode. The intake form collects only zip code, but the full native address composite is available for any contact type. No custom address field needed.</w:t>
            </w:r>
          </w:p>
        </w:tc>
      </w:tr>
      <w:tr>
        <w:tc>
          <w:tcPr>
            <w:tcW w:type="dxa" w:w="1500"/>
          </w:tcPr>
          <w:p>
            <w:r>
              <w:t>CON-DEC-010</w:t>
            </w:r>
          </w:p>
        </w:tc>
        <w:tc>
          <w:tcPr>
            <w:tcW w:type="dxa" w:w="7860"/>
          </w:tcPr>
          <w:p>
            <w:r>
              <w:t>Prospects ARE Contact records in the CRM. The CRM is the single source of truth for all contacts known to CBM, including marketing-stage prospects who only ever appeared on a marketing list. The Section 1 "Client prospects have not yet entered the system" language was a Mentoring-only-era statement and is corrected by v1.3.</w:t>
            </w:r>
          </w:p>
        </w:tc>
      </w:tr>
      <w:tr>
        <w:tc>
          <w:tcPr>
            <w:tcW w:type="dxa" w:w="1500"/>
          </w:tcPr>
          <w:p>
            <w:r>
              <w:t>CON-DEC-011</w:t>
            </w:r>
          </w:p>
        </w:tc>
        <w:tc>
          <w:tcPr>
            <w:tcW w:type="dxa" w:w="7860"/>
          </w:tcPr>
          <w:p>
            <w:r>
              <w:t>Two-field lifecycle model. Contact.prospectStatus tracks the marketing-funnel state of an individual person. Account.clientStatus (defined in the Account Entity PRD) tracks the client-relationship state of a company. The two fields answer two different questions and cannot drift because they measure different things. Handoff occurs at MN-INTAKE: when a prospect Contact applies, Contact.prospectStatus moves to Converted and Account.clientStatus moves from Prospect to Applicant.</w:t>
            </w:r>
          </w:p>
        </w:tc>
      </w:tr>
      <w:tr>
        <w:tc>
          <w:tcPr>
            <w:tcW w:type="dxa" w:w="1500"/>
          </w:tcPr>
          <w:p>
            <w:r>
              <w:t>CON-DEC-012</w:t>
            </w:r>
          </w:p>
        </w:tc>
        <w:tc>
          <w:tcPr>
            <w:tcW w:type="dxa" w:w="7860"/>
          </w:tcPr>
          <w:p>
            <w:r>
              <w:t>sourceAttributionDetails is a separate supplementary field, not a replacement for the structured howDidYouHearAboutCbm enum. The two fields work together: howDidYouHearAboutCbm is the authoritative structured field for reporting and segmentation; sourceAttributionDetails captures unstructured supplementary detail (specific partner name, specific event name, UTM parameters, staff override audit trail) that would dilute the structured field if forced into it.</w:t>
            </w:r>
          </w:p>
        </w:tc>
      </w:tr>
      <w:tr>
        <w:tc>
          <w:tcPr>
            <w:tcW w:type="dxa" w:w="1500"/>
          </w:tcPr>
          <w:p>
            <w:r>
              <w:t>CON-DEC-013</w:t>
            </w:r>
          </w:p>
        </w:tc>
        <w:tc>
          <w:tcPr>
            <w:tcW w:type="dxa" w:w="7860"/>
          </w:tcPr>
          <w:p>
            <w:r>
              <w:t>Per-channel opt-out flags. emailOptOut and smsOptOut are separate fields rather than a single combined opt-out flag because the legal compliance regimes are different (CAN-SPAM for email, TCPA for SMS) and a contact may legitimately want one channel suppressed but not the other. SMS as a marketing channel is in scope per the CR-MARKETING Sub-Domain Overview.</w:t>
            </w:r>
          </w:p>
        </w:tc>
      </w:tr>
      <w:tr>
        <w:tc>
          <w:tcPr>
            <w:tcW w:type="dxa" w:w="1500"/>
          </w:tcPr>
          <w:p>
            <w:r>
              <w:t>CON-DEC-014</w:t>
            </w:r>
          </w:p>
        </w:tc>
        <w:tc>
          <w:tcPr>
            <w:tcW w:type="dxa" w:w="7860"/>
          </w:tcPr>
          <w:p>
            <w:r>
              <w:t>Marketing engagement roll-up fields (lastMarketingEngagement, totalCampaignsSent, totalOpens, totalClicks) are workflow-updated from Campaign Engagement records, not manually maintained. They provide prospect-level engagement summaries without requiring traversal of per-recipient Campaign Engagement records. The Campaign and Campaign Engagement entities themselves are deferred to Phase 2b Entity PRDs.</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jc w:val="center"/>
    </w:pPr>
    <w:r>
      <w:rPr>
        <w:rFonts w:ascii="Arial" w:cs="Arial" w:eastAsia="Arial" w:hAnsi="Arial"/>
        <w:b w:val="false"/>
        <w:bCs w:val="false"/>
        <w:i w:val="false"/>
        <w:iCs w:val="false"/>
        <w:color w:val="888888"/>
        <w:sz w:val="16"/>
        <w:szCs w:val="16"/>
      </w:rPr>
      <w:t xml:space="preserve">Entity PRD — Contact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4"/>
      </w:pBdr>
      <w:tabs>
        <w:tab w:val="right" w:pos="9026"/>
      </w:tabs>
      <w:spacing w:after="0"/>
    </w:pPr>
    <w:r>
      <w:rPr>
        <w:rFonts w:ascii="Arial" w:cs="Arial" w:eastAsia="Arial" w:hAnsi="Arial"/>
        <w:b/>
        <w:bCs/>
        <w:i w:val="false"/>
        <w:iCs w:val="false"/>
        <w:color w:val="1F3864"/>
        <w:sz w:val="20"/>
        <w:szCs w:val="20"/>
      </w:rPr>
      <w:t xml:space="preserve">Cleveland Business Mentors</w:t>
    </w:r>
    <w:r>
      <w:rPr>
        <w:rFonts w:ascii="Arial" w:cs="Arial" w:eastAsia="Arial" w:hAnsi="Arial"/>
      </w:rPr>
      <w:t xml:space="preserve">	</w:t>
    </w:r>
    <w:r>
      <w:rPr>
        <w:rFonts w:ascii="Arial" w:cs="Arial" w:eastAsia="Arial" w:hAnsi="Arial"/>
        <w:b w:val="false"/>
        <w:bCs w:val="false"/>
        <w:i w:val="false"/>
        <w:iCs w:val="false"/>
        <w:color w:val="888888"/>
        <w:sz w:val="20"/>
        <w:szCs w:val="20"/>
      </w:rPr>
      <w:t xml:space="preserve">Contact Entity PRD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F3864"/>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1F3864"/>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2026-04-02T03:43:16.544Z</dcterms:created>
  <dcterms:modified xsi:type="dcterms:W3CDTF">2026-04-02T03:43:16.545Z</dcterms:modified>
</cp:coreProperties>
</file>

<file path=docProps/custom.xml><?xml version="1.0" encoding="utf-8"?>
<Properties xmlns="http://schemas.openxmlformats.org/officeDocument/2006/custom-properties" xmlns:vt="http://schemas.openxmlformats.org/officeDocument/2006/docPropsVTypes"/>
</file>