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Account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Account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Summary of professional background intended for use in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Provisional | Active | Inactive | Departed.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Signed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signed the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ethics agreement was signed.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rPr>
          <w:i/>
          <w:iCs/>
          <w:color w:val="888888"/>
        </w:rPr>
        <w:t xml:space="preserve">[PLACEHOLDER: Define the relationship between mentor records and engagement records. Include relationship type (one-to-many), how the relationship is created, and what data is visible from each side.]</w:t>
      </w:r>
    </w:p>
    <w:p>
      <w:r>
        <w:t xml:space="preserve"/>
      </w:r>
    </w:p>
    <w:p>
      <w:pPr>
        <w:pStyle w:val="Heading2"/>
      </w:pPr>
      <w:r>
        <w:t xml:space="preserve">3.2 Mentor → Client</w:t>
      </w:r>
    </w:p>
    <w:p>
      <w:pPr>
        <w:spacing w:after="120"/>
      </w:pPr>
      <w:r>
        <w:rPr>
          <w:i/>
          <w:iCs/>
          <w:color w:val="888888"/>
        </w:rPr>
        <w:t xml:space="preserve">[PLACEHOLDER: Define how mentors relate to clients — direct relationship vs. through engagement entity. Access scope rules.]</w:t>
      </w:r>
    </w:p>
    <w:p>
      <w:r>
        <w:t xml:space="preserve"/>
      </w:r>
    </w:p>
    <w:p>
      <w:pPr>
        <w:pStyle w:val="Heading2"/>
      </w:pPr>
      <w:r>
        <w:t xml:space="preserve">3.3 Mentor → SME Request</w:t>
      </w:r>
    </w:p>
    <w:p>
      <w:pPr>
        <w:spacing w:after="120"/>
      </w:pPr>
      <w:r>
        <w:rPr>
          <w:i/>
          <w:iCs/>
          <w:color w:val="888888"/>
        </w:rPr>
        <w:t xml:space="preserve">[PLACEHOLDER: Define the relationship between mentor records and SME request records — as requestor and as SME.]</w:t>
      </w:r>
    </w:p>
    <w:p>
      <w:r>
        <w:t xml:space="preserve"/>
      </w:r>
    </w:p>
    <w:p>
      <w:pPr>
        <w:pStyle w:val="Heading2"/>
      </w:pPr>
      <w:r>
        <w:t xml:space="preserve">3.4 Mentor → Sessions</w:t>
      </w:r>
    </w:p>
    <w:p>
      <w:pPr>
        <w:spacing w:after="120"/>
      </w:pPr>
      <w:r>
        <w:rPr>
          <w:i/>
          <w:iCs/>
          <w:color w:val="888888"/>
        </w:rPr>
        <w:t xml:space="preserve">[PLACEHOLDER: Define the relationship between mentor records and logged session records.]</w:t>
      </w:r>
    </w:p>
    <w:p>
      <w:r>
        <w:t xml:space="preserve"/>
      </w:r>
    </w:p>
    <w:p>
      <w:pPr>
        <w:pStyle w:val="Heading2"/>
      </w:pPr>
      <w:r>
        <w:t xml:space="preserve">3.5 Mentor → Dues</w:t>
      </w:r>
    </w:p>
    <w:p>
      <w:pPr>
        <w:spacing w:after="120"/>
      </w:pPr>
      <w:r>
        <w:rPr>
          <w:i/>
          <w:iCs/>
          <w:color w:val="888888"/>
        </w:rPr>
        <w:t xml:space="preserve">[PLACEHOLDER: Define how dues payment records relate to the mentor entity.]</w:t>
      </w:r>
    </w:p>
    <w:p>
      <w:r>
        <w:t xml:space="preserve"/>
      </w:r>
    </w:p>
    <w:p>
      <w:pPr>
        <w:pStyle w:val="Heading1"/>
      </w:pPr>
      <w:r>
        <w:t xml:space="preserve">4. Processes &amp; Workflows</w:t>
      </w:r>
    </w:p>
    <w:p>
      <w:pPr>
        <w:pStyle w:val="Heading2"/>
      </w:pPr>
      <w:r>
        <w:t xml:space="preserve">4.1 Mentor Registration</w:t>
      </w:r>
    </w:p>
    <w:p>
      <w:pPr>
        <w:spacing w:after="120"/>
      </w:pPr>
      <w:r>
        <w:rPr>
          <w:i/>
          <w:iCs/>
          <w:color w:val="888888"/>
        </w:rPr>
        <w:t xml:space="preserve">[PLACEHOLDER: Step-by-step process for registering a new mentor. EspoCRM record creation, initial status assignment, notification triggers.]</w:t>
      </w:r>
    </w:p>
    <w:p>
      <w:r>
        <w:t xml:space="preserve"/>
      </w:r>
    </w:p>
    <w:p>
      <w:pPr>
        <w:pStyle w:val="Heading2"/>
      </w:pPr>
      <w:r>
        <w:t xml:space="preserve">4.2 Provisional → Active Activation</w:t>
      </w:r>
    </w:p>
    <w:p>
      <w:pPr>
        <w:spacing w:after="120"/>
      </w:pPr>
      <w:r>
        <w:rPr>
          <w:i/>
          <w:iCs/>
          <w:color w:val="888888"/>
        </w:rPr>
        <w:t xml:space="preserve">[PLACEHOLDER: 7-step activation workflow — Moodle completion trigger, admin notification, manual approval steps, status change, capacity field activation.]</w:t>
      </w:r>
    </w:p>
    <w:p>
      <w:r>
        <w:t xml:space="preserve"/>
      </w:r>
    </w:p>
    <w:p>
      <w:pPr>
        <w:pStyle w:val="Heading2"/>
      </w:pPr>
      <w:r>
        <w:t xml:space="preserve">4.3 Client Assignment</w:t>
      </w:r>
    </w:p>
    <w:p>
      <w:pPr>
        <w:spacing w:after="120"/>
      </w:pPr>
      <w:r>
        <w:rPr>
          <w:i/>
          <w:iCs/>
          <w:color w:val="888888"/>
        </w:rPr>
        <w:t xml:space="preserve">[PLACEHOLDER: Workflow for assigning a client to a mentor — capacity check, assignment record creation, introduction email trigger.]</w:t>
      </w:r>
    </w:p>
    <w:p>
      <w:r>
        <w:t xml:space="preserve"/>
      </w:r>
    </w:p>
    <w:p>
      <w:pPr>
        <w:pStyle w:val="Heading2"/>
      </w:pPr>
      <w:r>
        <w:t xml:space="preserve">4.4 SME Request Workflow</w:t>
      </w:r>
    </w:p>
    <w:p>
      <w:pPr>
        <w:spacing w:after="120"/>
      </w:pPr>
      <w:r>
        <w:rPr>
          <w:i/>
          <w:iCs/>
          <w:color w:val="888888"/>
        </w:rPr>
        <w:t xml:space="preserve">[PLACEHOLDER: End-to-end SME request process — mentor initiates, SME notified, accept/decline, scoped access granted, session logged, access revoked.]</w:t>
      </w:r>
    </w:p>
    <w:p>
      <w:r>
        <w:t xml:space="preserve"/>
      </w:r>
    </w:p>
    <w:p>
      <w:pPr>
        <w:pStyle w:val="Heading2"/>
      </w:pPr>
      <w:r>
        <w:t xml:space="preserve">4.5 Inactivity Monitoring</w:t>
      </w:r>
    </w:p>
    <w:p>
      <w:pPr>
        <w:spacing w:after="120"/>
      </w:pPr>
      <w:r>
        <w:rPr>
          <w:i/>
          <w:iCs/>
          <w:color w:val="888888"/>
        </w:rPr>
        <w:t xml:space="preserve">[PLACEHOLDER: Workflow trigger conditions, threshold configuration, alert recipients, follow-up actions.]</w:t>
      </w:r>
    </w:p>
    <w:p>
      <w:r>
        <w:t xml:space="preserve"/>
      </w:r>
    </w:p>
    <w:p>
      <w:pPr>
        <w:pStyle w:val="Heading2"/>
      </w:pPr>
      <w:r>
        <w:t xml:space="preserve">4.6 Dues Billing &amp; Collection</w:t>
      </w:r>
    </w:p>
    <w:p>
      <w:pPr>
        <w:spacing w:after="120"/>
      </w:pPr>
      <w:r>
        <w:rPr>
          <w:i/>
          <w:iCs/>
          <w:color w:val="888888"/>
        </w:rPr>
        <w:t xml:space="preserve">[PLACEHOLDER: Annual dues invoice generation, Stripe payment link, webhook confirmation, waiver process, unpaid alert workflow.]</w:t>
      </w:r>
    </w:p>
    <w:p>
      <w:r>
        <w:t xml:space="preserve"/>
      </w:r>
    </w:p>
    <w:p>
      <w:pPr>
        <w:pStyle w:val="Heading2"/>
      </w:pPr>
      <w:r>
        <w:t xml:space="preserve">4.7 Mentor Offboarding</w:t>
      </w:r>
    </w:p>
    <w:p>
      <w:pPr>
        <w:spacing w:after="120"/>
      </w:pPr>
      <w:r>
        <w:rPr>
          <w:i/>
          <w:iCs/>
          <w:color w:val="888888"/>
        </w:rPr>
        <w:t xml:space="preserve">[PLACEHOLDER: Offboarding checklist — status change to Departed, client reassignment, Google Workspace account handling, data retention.]</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mentor records. Read / Edit / Create / Delete per field group.]</w:t>
      </w:r>
    </w:p>
    <w:p>
      <w:r>
        <w:t xml:space="preserve"/>
      </w:r>
    </w:p>
    <w:p>
      <w:pPr>
        <w:pStyle w:val="Heading2"/>
      </w:pPr>
      <w:r>
        <w:t xml:space="preserve">5.2 Field-Level Security</w:t>
      </w:r>
    </w:p>
    <w:p>
      <w:pPr>
        <w:spacing w:after="120"/>
      </w:pPr>
      <w:r>
        <w:rPr>
          <w:i/>
          <w:iCs/>
          <w:color w:val="888888"/>
        </w:rPr>
        <w:t xml:space="preserve">[PLACEHOLDER: Identify any fields that require additional access restrictions beyond role-level — e.g. dues waiver status, departure reason, ethics sign-off date.]</w:t>
      </w:r>
    </w:p>
    <w:p>
      <w:r>
        <w:t xml:space="preserve"/>
      </w:r>
    </w:p>
    <w:p>
      <w:pPr>
        <w:pStyle w:val="Heading2"/>
      </w:pPr>
      <w:r>
        <w:t xml:space="preserve">5.3 Data Visibility Rules</w:t>
      </w:r>
    </w:p>
    <w:p>
      <w:pPr>
        <w:spacing w:after="120"/>
      </w:pPr>
      <w:r>
        <w:rPr>
          <w:i/>
          <w:iCs/>
          <w:color w:val="888888"/>
        </w:rPr>
        <w:t xml:space="preserve">[PLACEHOLDER: Define scope rules — mentor can only see own clients, cannot see other mentors' engagements or communications. Admin elevated access. Board read-only reporting access.]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