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2.4</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04-08-26 04:00</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 / Sub-Domain</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CR-MARKETING</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Outreach and Marketing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Workshops and Event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CR-REACTIVATE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Reactivation and Recovery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The domain is organized into four sub-domains — Partner Relationship Management, Outreach and Marketing, Workshops and Event Management, and Client Reactivation and Recovery — reflecting autonomous operational areas that share the common purpose of connecting the right clients to CBM’s mentoring services. The parent domain provides unified oversight, cross-sub-domain reporting, comparative channel effectiveness analysis, and a shared audience strategy for targeted community segments.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 MST-PER-013 Client</w:t>
      </w:r>
    </w:p>
    <w:p>
      <w:pPr>
        <w:pStyle w:val="Heading3"/>
      </w:pPr>
      <w:r>
        <w:t xml:space="preserve">Sub-Domains</w:t>
      </w:r>
    </w:p>
    <w:p>
      <w:pPr>
        <w:spacing w:after="120"/>
      </w:pPr>
      <w:r>
        <w:rPr>
          <w:rFonts w:ascii="Arial" w:cs="Arial" w:eastAsia="Arial" w:hAnsi="Arial"/>
          <w:sz w:val="22"/>
          <w:szCs w:val="22"/>
        </w:rPr>
        <w:t xml:space="preserve">The Client Recruiting domain is organized into four sub-domains. Each sub-domain operates autonomously with its own process inventory, which will be defined during the Domain Overview and Sub-Domain Overview phases. Individual processes within each sub-domain are not enumerated here.</w:t>
      </w:r>
    </w:p>
    <w:p>
      <w:pPr>
        <w:spacing w:after="0"/>
      </w:pPr>
    </w:p>
    <w:p>
      <w:pPr>
        <w:spacing w:after="120"/>
      </w:pPr>
      <w:r>
        <w:rPr>
          <w:rFonts w:ascii="Arial" w:cs="Arial" w:eastAsia="Arial" w:hAnsi="Arial"/>
          <w:b/>
          <w:bCs/>
          <w:sz w:val="22"/>
          <w:szCs w:val="22"/>
        </w:rPr>
        <w:t xml:space="preserve">CR-PARTNER — Partner Relationship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120"/>
      </w:pPr>
      <w:r>
        <w:rPr>
          <w:rFonts w:ascii="Arial" w:cs="Arial" w:eastAsia="Arial" w:hAnsi="Arial"/>
          <w:sz w:val="22"/>
          <w:szCs w:val="22"/>
        </w:rPr>
        <w:t xml:space="preserve">The full lifecycle of referral partnerships — identifying potential partners, qualifying them, establishing formal agreements, onboarding partners, managing ongoing relationships, and measuring referral performance. Covers community organizations, nonprofits, government agencies, institutional channels (SBA, economic development offices, libraries, workforce development boards), and any organization that extends CBM’s reach and refers clients into the program.</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6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60"/>
      </w:pPr>
      <w:r>
        <w:rPr>
          <w:rFonts w:ascii="Arial" w:cs="Arial" w:eastAsia="Arial" w:hAnsi="Arial"/>
          <w:sz w:val="22"/>
          <w:szCs w:val="22"/>
        </w:rPr>
        <w:t xml:space="preserve">Partners are a primary referral channel for both clients and mentors, making this foundational to CBM’s reach</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60"/>
      </w:pPr>
      <w:r>
        <w:rPr>
          <w:rFonts w:ascii="Arial" w:cs="Arial" w:eastAsia="Arial" w:hAnsi="Arial"/>
          <w:sz w:val="22"/>
          <w:szCs w:val="22"/>
        </w:rPr>
        <w:t xml:space="preserve">Multiple contacts per partner with primary designation</w:t>
      </w:r>
    </w:p>
    <w:p>
      <w:pPr>
        <w:pStyle w:val="ListParagraph"/>
        <w:numPr>
          <w:ilvl w:val="0"/>
          <w:numId w:val="2"/>
        </w:numPr>
        <w:spacing w:after="60"/>
      </w:pPr>
      <w:r>
        <w:rPr>
          <w:rFonts w:ascii="Arial" w:cs="Arial" w:eastAsia="Arial" w:hAnsi="Arial"/>
          <w:sz w:val="22"/>
          <w:szCs w:val="22"/>
        </w:rPr>
        <w:t xml:space="preserve">CBM coordinator assignment with lead designation</w:t>
      </w:r>
    </w:p>
    <w:p>
      <w:pPr>
        <w:pStyle w:val="ListParagraph"/>
        <w:numPr>
          <w:ilvl w:val="0"/>
          <w:numId w:val="2"/>
        </w:numPr>
        <w:spacing w:after="6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60"/>
      </w:pPr>
      <w:r>
        <w:rPr>
          <w:rFonts w:ascii="Arial" w:cs="Arial" w:eastAsia="Arial" w:hAnsi="Arial"/>
          <w:sz w:val="22"/>
          <w:szCs w:val="22"/>
        </w:rPr>
        <w:t xml:space="preserve">Communication history across all CBM personnel</w:t>
      </w:r>
    </w:p>
    <w:p>
      <w:pPr>
        <w:pStyle w:val="ListParagraph"/>
        <w:numPr>
          <w:ilvl w:val="0"/>
          <w:numId w:val="2"/>
        </w:numPr>
        <w:spacing w:after="60"/>
      </w:pPr>
      <w:r>
        <w:rPr>
          <w:rFonts w:ascii="Arial" w:cs="Arial" w:eastAsia="Arial" w:hAnsi="Arial"/>
          <w:sz w:val="22"/>
          <w:szCs w:val="22"/>
        </w:rPr>
        <w:t xml:space="preserve">Client referral tracking by partner</w:t>
      </w:r>
    </w:p>
    <w:p>
      <w:pPr>
        <w:pStyle w:val="ListParagraph"/>
        <w:numPr>
          <w:ilvl w:val="0"/>
          <w:numId w:val="2"/>
        </w:numPr>
        <w:spacing w:after="60"/>
      </w:pPr>
      <w:r>
        <w:rPr>
          <w:rFonts w:ascii="Arial" w:cs="Arial" w:eastAsia="Arial" w:hAnsi="Arial"/>
          <w:sz w:val="22"/>
          <w:szCs w:val="22"/>
        </w:rPr>
        <w:t xml:space="preserve">Mentor affiliation tracking by partner and geography</w:t>
      </w:r>
    </w:p>
    <w:p>
      <w:pPr>
        <w:pStyle w:val="ListParagraph"/>
        <w:numPr>
          <w:ilvl w:val="0"/>
          <w:numId w:val="2"/>
        </w:numPr>
        <w:spacing w:after="60"/>
      </w:pPr>
      <w:r>
        <w:rPr>
          <w:rFonts w:ascii="Arial" w:cs="Arial" w:eastAsia="Arial" w:hAnsi="Arial"/>
          <w:sz w:val="22"/>
          <w:szCs w:val="22"/>
        </w:rPr>
        <w:t xml:space="preserve">Partner analytics reports</w:t>
      </w:r>
    </w:p>
    <w:p>
      <w:pPr>
        <w:spacing w:after="0"/>
      </w:pPr>
    </w:p>
    <w:p>
      <w:pPr>
        <w:spacing w:after="120"/>
      </w:pPr>
      <w:r>
        <w:rPr>
          <w:rFonts w:ascii="Arial" w:cs="Arial" w:eastAsia="Arial" w:hAnsi="Arial"/>
          <w:b/>
          <w:bCs/>
          <w:sz w:val="22"/>
          <w:szCs w:val="22"/>
        </w:rPr>
        <w:t xml:space="preserve">CR-MARKETING — Outreach and Marketing</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All activities that generate awareness and inbound interest through communications channels.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Also covers marketing contact list management and campaign performance tracking.</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6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60"/>
      </w:pPr>
      <w:r>
        <w:rPr>
          <w:rFonts w:ascii="Arial" w:cs="Arial" w:eastAsia="Arial" w:hAnsi="Arial"/>
          <w:sz w:val="22"/>
          <w:szCs w:val="22"/>
        </w:rPr>
        <w:t xml:space="preserve">Provides clear attribution of how clients discover CBM, supporting resource allocation across channels</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60"/>
      </w:pPr>
      <w:r>
        <w:rPr>
          <w:rFonts w:ascii="Arial" w:cs="Arial" w:eastAsia="Arial" w:hAnsi="Arial"/>
          <w:sz w:val="22"/>
          <w:szCs w:val="22"/>
        </w:rPr>
        <w:t xml:space="preserve">Outreach activity and communication history tracking</w:t>
      </w:r>
    </w:p>
    <w:p>
      <w:pPr>
        <w:pStyle w:val="ListParagraph"/>
        <w:numPr>
          <w:ilvl w:val="0"/>
          <w:numId w:val="2"/>
        </w:numPr>
        <w:spacing w:after="60"/>
      </w:pPr>
      <w:r>
        <w:rPr>
          <w:rFonts w:ascii="Arial" w:cs="Arial" w:eastAsia="Arial" w:hAnsi="Arial"/>
          <w:sz w:val="22"/>
          <w:szCs w:val="22"/>
        </w:rPr>
        <w:t xml:space="preserve">Application source recording</w:t>
      </w:r>
    </w:p>
    <w:p>
      <w:pPr>
        <w:pStyle w:val="ListParagraph"/>
        <w:numPr>
          <w:ilvl w:val="0"/>
          <w:numId w:val="2"/>
        </w:numPr>
        <w:spacing w:after="60"/>
      </w:pPr>
      <w:r>
        <w:rPr>
          <w:rFonts w:ascii="Arial" w:cs="Arial" w:eastAsia="Arial" w:hAnsi="Arial"/>
          <w:sz w:val="22"/>
          <w:szCs w:val="22"/>
        </w:rPr>
        <w:t xml:space="preserve">Campaign reach and application volume trend tracking</w:t>
      </w:r>
    </w:p>
    <w:p>
      <w:pPr>
        <w:pStyle w:val="ListParagraph"/>
        <w:numPr>
          <w:ilvl w:val="0"/>
          <w:numId w:val="2"/>
        </w:numPr>
        <w:spacing w:after="60"/>
      </w:pPr>
      <w:r>
        <w:rPr>
          <w:rFonts w:ascii="Arial" w:cs="Arial" w:eastAsia="Arial" w:hAnsi="Arial"/>
          <w:sz w:val="22"/>
          <w:szCs w:val="22"/>
        </w:rPr>
        <w:t xml:space="preserve">Geographic targeting of outreach by service area</w:t>
      </w:r>
    </w:p>
    <w:p>
      <w:pPr>
        <w:pStyle w:val="ListParagraph"/>
        <w:numPr>
          <w:ilvl w:val="0"/>
          <w:numId w:val="2"/>
        </w:numPr>
        <w:spacing w:after="60"/>
      </w:pPr>
      <w:r>
        <w:rPr>
          <w:rFonts w:ascii="Arial" w:cs="Arial" w:eastAsia="Arial" w:hAnsi="Arial"/>
          <w:sz w:val="22"/>
          <w:szCs w:val="22"/>
        </w:rPr>
        <w:t xml:space="preserve">Media coverage and public relations activity tracking</w:t>
      </w:r>
    </w:p>
    <w:p>
      <w:pPr>
        <w:spacing w:after="0"/>
      </w:pPr>
    </w:p>
    <w:p>
      <w:pPr>
        <w:spacing w:after="120"/>
      </w:pPr>
      <w:r>
        <w:rPr>
          <w:rFonts w:ascii="Arial" w:cs="Arial" w:eastAsia="Arial" w:hAnsi="Arial"/>
          <w:b/>
          <w:bCs/>
          <w:sz w:val="22"/>
          <w:szCs w:val="22"/>
        </w:rPr>
        <w:t xml:space="preserve">CR-EVENTS — Workshops and Event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Covers event logistics, registration, attendance tracking, post-event follow-up, and conversion tracking from attendee to applicant.</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Provides end-to-end management of workshops, clinics, webinars, and events including scheduling, registration, attendance tracking, and post-event reporting</w:t>
      </w:r>
    </w:p>
    <w:p>
      <w:pPr>
        <w:pStyle w:val="ListParagraph"/>
        <w:numPr>
          <w:ilvl w:val="0"/>
          <w:numId w:val="2"/>
        </w:numPr>
        <w:spacing w:after="60"/>
      </w:pPr>
      <w:r>
        <w:rPr>
          <w:rFonts w:ascii="Arial" w:cs="Arial" w:eastAsia="Arial" w:hAnsi="Arial"/>
          <w:sz w:val="22"/>
          <w:szCs w:val="22"/>
        </w:rPr>
        <w:t xml:space="preserve">Enables CBM to measure which events are driving client engagement and partner collaboration</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Event record management (name, date, location, type, format, capacity, status)</w:t>
      </w:r>
    </w:p>
    <w:p>
      <w:pPr>
        <w:pStyle w:val="ListParagraph"/>
        <w:numPr>
          <w:ilvl w:val="0"/>
          <w:numId w:val="2"/>
        </w:numPr>
        <w:spacing w:after="6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60"/>
      </w:pPr>
      <w:r>
        <w:rPr>
          <w:rFonts w:ascii="Arial" w:cs="Arial" w:eastAsia="Arial" w:hAnsi="Arial"/>
          <w:sz w:val="22"/>
          <w:szCs w:val="22"/>
        </w:rPr>
        <w:t xml:space="preserve">No-show rate and attendance trend tracking</w:t>
      </w:r>
    </w:p>
    <w:p>
      <w:pPr>
        <w:pStyle w:val="ListParagraph"/>
        <w:numPr>
          <w:ilvl w:val="0"/>
          <w:numId w:val="2"/>
        </w:numPr>
        <w:spacing w:after="60"/>
      </w:pPr>
      <w:r>
        <w:rPr>
          <w:rFonts w:ascii="Arial" w:cs="Arial" w:eastAsia="Arial" w:hAnsi="Arial"/>
          <w:sz w:val="22"/>
          <w:szCs w:val="22"/>
        </w:rPr>
        <w:t xml:space="preserve">Partner and sponsor linking to co-sponsored and sponsored events</w:t>
      </w:r>
    </w:p>
    <w:p>
      <w:pPr>
        <w:pStyle w:val="ListParagraph"/>
        <w:numPr>
          <w:ilvl w:val="0"/>
          <w:numId w:val="2"/>
        </w:numPr>
        <w:spacing w:after="60"/>
      </w:pPr>
      <w:r>
        <w:rPr>
          <w:rFonts w:ascii="Arial" w:cs="Arial" w:eastAsia="Arial" w:hAnsi="Arial"/>
          <w:sz w:val="22"/>
          <w:szCs w:val="22"/>
        </w:rPr>
        <w:t xml:space="preserve">Presenter tracking linked to contact records</w:t>
      </w:r>
    </w:p>
    <w:p>
      <w:pPr>
        <w:pStyle w:val="ListParagraph"/>
        <w:numPr>
          <w:ilvl w:val="0"/>
          <w:numId w:val="2"/>
        </w:numPr>
        <w:spacing w:after="60"/>
      </w:pPr>
      <w:r>
        <w:rPr>
          <w:rFonts w:ascii="Arial" w:cs="Arial" w:eastAsia="Arial" w:hAnsi="Arial"/>
          <w:sz w:val="22"/>
          <w:szCs w:val="22"/>
        </w:rPr>
        <w:t xml:space="preserve">Event document storage</w:t>
      </w:r>
    </w:p>
    <w:p>
      <w:pPr>
        <w:pStyle w:val="ListParagraph"/>
        <w:numPr>
          <w:ilvl w:val="0"/>
          <w:numId w:val="2"/>
        </w:numPr>
        <w:spacing w:after="60"/>
      </w:pPr>
      <w:r>
        <w:rPr>
          <w:rFonts w:ascii="Arial" w:cs="Arial" w:eastAsia="Arial" w:hAnsi="Arial"/>
          <w:sz w:val="22"/>
          <w:szCs w:val="22"/>
        </w:rPr>
        <w:t xml:space="preserve">Event analytics reports</w:t>
      </w:r>
    </w:p>
    <w:p>
      <w:pPr>
        <w:pStyle w:val="ListParagraph"/>
        <w:numPr>
          <w:ilvl w:val="0"/>
          <w:numId w:val="2"/>
        </w:numPr>
        <w:spacing w:after="60"/>
      </w:pPr>
      <w:r>
        <w:rPr>
          <w:rFonts w:ascii="Arial" w:cs="Arial" w:eastAsia="Arial" w:hAnsi="Arial"/>
          <w:sz w:val="22"/>
          <w:szCs w:val="22"/>
        </w:rPr>
        <w:t xml:space="preserve">Post-event follow-up and conversion tracking</w:t>
      </w:r>
    </w:p>
    <w:p>
      <w:pPr>
        <w:spacing w:after="0"/>
      </w:pPr>
    </w:p>
    <w:p>
      <w:pPr>
        <w:spacing w:after="120"/>
      </w:pPr>
      <w:r>
        <w:rPr>
          <w:rFonts w:ascii="Arial" w:cs="Arial" w:eastAsia="Arial" w:hAnsi="Arial"/>
          <w:b/>
          <w:bCs/>
          <w:sz w:val="22"/>
          <w:szCs w:val="22"/>
        </w:rPr>
        <w:t xml:space="preserve">CR-REACTIVATE — Client Reactivation and Recovery</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Re-engaging people who have previously interacted with CBM but are not currently active. Includes former clients who may benefit from another round of mentoring, incomplete applications, workshop and webinar attendees who did not convert to applicants, seasonal and cyclical outreach to past inquiries, and structured referral requests to successful former clients.</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Maximizes return on prior recruiting investment by converting warm leads who already know CBM</w:t>
      </w:r>
    </w:p>
    <w:p>
      <w:pPr>
        <w:pStyle w:val="ListParagraph"/>
        <w:numPr>
          <w:ilvl w:val="0"/>
          <w:numId w:val="2"/>
        </w:numPr>
        <w:spacing w:after="60"/>
      </w:pPr>
      <w:r>
        <w:rPr>
          <w:rFonts w:ascii="Arial" w:cs="Arial" w:eastAsia="Arial" w:hAnsi="Arial"/>
          <w:sz w:val="22"/>
          <w:szCs w:val="22"/>
        </w:rPr>
        <w:t xml:space="preserve">Turns satisfied former clients into active referral sources through structured alumni engagement</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Alumni contact tracking and periodic re-engagement outreach</w:t>
      </w:r>
    </w:p>
    <w:p>
      <w:pPr>
        <w:pStyle w:val="ListParagraph"/>
        <w:numPr>
          <w:ilvl w:val="0"/>
          <w:numId w:val="2"/>
        </w:numPr>
        <w:spacing w:after="60"/>
      </w:pPr>
      <w:r>
        <w:rPr>
          <w:rFonts w:ascii="Arial" w:cs="Arial" w:eastAsia="Arial" w:hAnsi="Arial"/>
          <w:sz w:val="22"/>
          <w:szCs w:val="22"/>
        </w:rPr>
        <w:t xml:space="preserve">Incomplete application follow-up tracking</w:t>
      </w:r>
    </w:p>
    <w:p>
      <w:pPr>
        <w:pStyle w:val="ListParagraph"/>
        <w:numPr>
          <w:ilvl w:val="0"/>
          <w:numId w:val="2"/>
        </w:numPr>
        <w:spacing w:after="60"/>
      </w:pPr>
      <w:r>
        <w:rPr>
          <w:rFonts w:ascii="Arial" w:cs="Arial" w:eastAsia="Arial" w:hAnsi="Arial"/>
          <w:sz w:val="22"/>
          <w:szCs w:val="22"/>
        </w:rPr>
        <w:t xml:space="preserve">Event attendee conversion tracking</w:t>
      </w:r>
    </w:p>
    <w:p>
      <w:pPr>
        <w:pStyle w:val="ListParagraph"/>
        <w:numPr>
          <w:ilvl w:val="0"/>
          <w:numId w:val="2"/>
        </w:numPr>
        <w:spacing w:after="60"/>
      </w:pPr>
      <w:r>
        <w:rPr>
          <w:rFonts w:ascii="Arial" w:cs="Arial" w:eastAsia="Arial" w:hAnsi="Arial"/>
          <w:sz w:val="22"/>
          <w:szCs w:val="22"/>
        </w:rPr>
        <w:t xml:space="preserve">Referral source tracking linked to former client records</w:t>
      </w:r>
    </w:p>
    <w:p>
      <w:pPr>
        <w:pStyle w:val="ListParagraph"/>
        <w:numPr>
          <w:ilvl w:val="0"/>
          <w:numId w:val="2"/>
        </w:numPr>
        <w:spacing w:after="60"/>
      </w:pPr>
      <w:r>
        <w:rPr>
          <w:rFonts w:ascii="Arial" w:cs="Arial" w:eastAsia="Arial" w:hAnsi="Arial"/>
          <w:sz w:val="22"/>
          <w:szCs w:val="22"/>
        </w:rPr>
        <w:t xml:space="preserve">Seasonal outreach campaign management</w:t>
      </w: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pPr>
        <w:pStyle w:val="ListParagraph"/>
        <w:numPr>
          <w:ilvl w:val="0"/>
          <w:numId w:val="2"/>
        </w:numPr>
        <w:spacing w:after="60"/>
      </w:pPr>
      <w:r>
        <w:rPr>
          <w:rFonts w:ascii="Arial" w:cs="Arial" w:eastAsia="Arial" w:hAnsi="Arial"/>
          <w:sz w:val="22"/>
          <w:szCs w:val="22"/>
        </w:rPr>
        <w:t xml:space="preserve">Alumni and reactivation tracking records</w:t>
      </w:r>
    </w:p>
    <w:p>
      <w:pPr>
        <w:pStyle w:val="ListParagraph"/>
        <w:numPr>
          <w:ilvl w:val="0"/>
          <w:numId w:val="2"/>
        </w:numPr>
        <w:spacing w:after="60"/>
      </w:pPr>
      <w:r>
        <w:rPr>
          <w:rFonts w:ascii="Arial" w:cs="Arial" w:eastAsia="Arial" w:hAnsi="Arial"/>
          <w:sz w:val="22"/>
          <w:szCs w:val="22"/>
        </w:rPr>
        <w:t xml:space="preserve">Event attendee conversion and follow-up records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Cross-Domain Services</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Services are structurally parallel to domains: they can own entities, define processes, and produce their own reconciled Service PRD. Their purpose is to provide shared capabilities rather than to fulfill a standalone business function. Domain process documents reference services generically without needing to know their internal mechanics.</w:t>
      </w:r>
    </w:p>
    <w:p>
      <w:pPr>
        <w:pStyle w:val="Heading2"/>
      </w:pPr>
      <w:r>
        <w:t xml:space="preserve">4.1 Notes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the ability to attach free-form, timestamped notes to any CRM record. Notes support administrative documentation, relationship context, and operational observations across all domains. This service covers general-purpose notes only — structured session notes and engagement notes within the Mentoring domain remain domain-specific.</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view, and manage free-form notes on any CRM record (contacts, organizations, engagements, partners, donors, events)</w:t>
      </w:r>
    </w:p>
    <w:p>
      <w:pPr>
        <w:pStyle w:val="ListParagraph"/>
        <w:numPr>
          <w:ilvl w:val="0"/>
          <w:numId w:val="2"/>
        </w:numPr>
        <w:spacing w:after="40"/>
      </w:pPr>
      <w:r>
        <w:rPr>
          <w:rFonts w:ascii="Arial" w:cs="Arial" w:eastAsia="Arial" w:hAnsi="Arial"/>
          <w:sz w:val="22"/>
          <w:szCs w:val="22"/>
        </w:rPr>
        <w:t xml:space="preserve">Each note is attributed to the authoring user with an automatic timestamp</w:t>
      </w:r>
    </w:p>
    <w:p>
      <w:pPr>
        <w:pStyle w:val="ListParagraph"/>
        <w:numPr>
          <w:ilvl w:val="0"/>
          <w:numId w:val="2"/>
        </w:numPr>
        <w:spacing w:after="40"/>
      </w:pPr>
      <w:r>
        <w:rPr>
          <w:rFonts w:ascii="Arial" w:cs="Arial" w:eastAsia="Arial" w:hAnsi="Arial"/>
          <w:sz w:val="22"/>
          <w:szCs w:val="22"/>
        </w:rPr>
        <w:t xml:space="preserve">Notes are visible to any user with access to the parent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Note</w:t>
      </w:r>
    </w:p>
    <w:p>
      <w:pPr>
        <w:pStyle w:val="Heading2"/>
      </w:pPr>
      <w:r>
        <w:t xml:space="preserve">4.2 Email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email communication capability integrated with the organizational email system. The Email Service enables all CRM users to send and receive email within the CRM and automatically logs all communications against the relevant contact and record, maintaining a complete communication history.</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Send and receive email within the CRM through the organizational email system</w:t>
      </w:r>
    </w:p>
    <w:p>
      <w:pPr>
        <w:pStyle w:val="ListParagraph"/>
        <w:numPr>
          <w:ilvl w:val="0"/>
          <w:numId w:val="2"/>
        </w:numPr>
        <w:spacing w:after="40"/>
      </w:pPr>
      <w:r>
        <w:rPr>
          <w:rFonts w:ascii="Arial" w:cs="Arial" w:eastAsia="Arial" w:hAnsi="Arial"/>
          <w:sz w:val="22"/>
          <w:szCs w:val="22"/>
        </w:rPr>
        <w:t xml:space="preserve">Automatically log all sent and received email against the relevant contact and record</w:t>
      </w:r>
    </w:p>
    <w:p>
      <w:pPr>
        <w:pStyle w:val="ListParagraph"/>
        <w:numPr>
          <w:ilvl w:val="0"/>
          <w:numId w:val="2"/>
        </w:numPr>
        <w:spacing w:after="40"/>
      </w:pPr>
      <w:r>
        <w:rPr>
          <w:rFonts w:ascii="Arial" w:cs="Arial" w:eastAsia="Arial" w:hAnsi="Arial"/>
          <w:sz w:val="22"/>
          <w:szCs w:val="22"/>
        </w:rPr>
        <w:t xml:space="preserve">Maintain a complete communication history accessible from any contact, engagement, partner, or donor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email records are managed natively by the CRM platform</w:t>
      </w:r>
    </w:p>
    <w:p>
      <w:pPr>
        <w:pStyle w:val="Heading2"/>
      </w:pPr>
      <w:r>
        <w:t xml:space="preserve">4.3 Calendar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calendar availability visibility and ad-hoc appointment creation, integrated with the organizational calendar system. The Calendar Service enables users to see their full availability when scheduling follow-up sessions or meetings and to create standalone appointments outside of any domain workflow.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Display availability across all calendars linked to the user’s organizational calendar account, including personal calendars the user has configured in their account</w:t>
      </w:r>
    </w:p>
    <w:p>
      <w:pPr>
        <w:pStyle w:val="ListParagraph"/>
        <w:numPr>
          <w:ilvl w:val="0"/>
          <w:numId w:val="2"/>
        </w:numPr>
        <w:spacing w:after="40"/>
      </w:pPr>
      <w:r>
        <w:rPr>
          <w:rFonts w:ascii="Arial" w:cs="Arial" w:eastAsia="Arial" w:hAnsi="Arial"/>
          <w:sz w:val="22"/>
          <w:szCs w:val="22"/>
        </w:rPr>
        <w:t xml:space="preserve">Create ad-hoc appointments on the user’s organizational calendar outside of any domain workflow</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appointments are managed by the external calendar system</w:t>
      </w:r>
    </w:p>
    <w:p>
      <w:pPr>
        <w:pStyle w:val="Heading2"/>
      </w:pPr>
      <w:r>
        <w:t xml:space="preserve">4.4 Survey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survey creation, delivery, and response collection capability for gathering feedback across program areas. The Survey Service provides the mechanics of survey management — creation, delivery, response collection, and result recording. Domain processes define when and why surveys are sent; the Survey Service provides the how.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and configure surveys with custom questions and response types</w:t>
      </w:r>
    </w:p>
    <w:p>
      <w:pPr>
        <w:pStyle w:val="ListParagraph"/>
        <w:numPr>
          <w:ilvl w:val="0"/>
          <w:numId w:val="2"/>
        </w:numPr>
        <w:spacing w:after="40"/>
      </w:pPr>
      <w:r>
        <w:rPr>
          <w:rFonts w:ascii="Arial" w:cs="Arial" w:eastAsia="Arial" w:hAnsi="Arial"/>
          <w:sz w:val="22"/>
          <w:szCs w:val="22"/>
        </w:rPr>
        <w:t xml:space="preserve">Deliver surveys to recipients at defined intervals or trigger points</w:t>
      </w:r>
    </w:p>
    <w:p>
      <w:pPr>
        <w:pStyle w:val="ListParagraph"/>
        <w:numPr>
          <w:ilvl w:val="0"/>
          <w:numId w:val="2"/>
        </w:numPr>
        <w:spacing w:after="40"/>
      </w:pPr>
      <w:r>
        <w:rPr>
          <w:rFonts w:ascii="Arial" w:cs="Arial" w:eastAsia="Arial" w:hAnsi="Arial"/>
          <w:sz w:val="22"/>
          <w:szCs w:val="22"/>
        </w:rPr>
        <w:t xml:space="preserve">Collect and record responses linked to the relevant CRM records (contacts, engagements, partners, events)</w:t>
      </w:r>
    </w:p>
    <w:p>
      <w:pPr>
        <w:pStyle w:val="ListParagraph"/>
        <w:numPr>
          <w:ilvl w:val="0"/>
          <w:numId w:val="2"/>
        </w:numPr>
        <w:spacing w:after="40"/>
      </w:pPr>
      <w:r>
        <w:rPr>
          <w:rFonts w:ascii="Arial" w:cs="Arial" w:eastAsia="Arial" w:hAnsi="Arial"/>
          <w:sz w:val="22"/>
          <w:szCs w:val="22"/>
        </w:rPr>
        <w:t xml:space="preserve">Make response data available for reporting and trend analysis</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Client Recruiting (CR)</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Survey, Survey Response</w:t>
      </w:r>
    </w:p>
    <w:p>
      <w:r>
        <w:br w:type="page"/>
      </w:r>
    </w:p>
    <w:p>
      <w:pPr>
        <w:pStyle w:val="Heading1"/>
      </w:pPr>
      <w:r>
        <w:t xml:space="preserve">5. System Scope</w:t>
      </w:r>
    </w:p>
    <w:p>
      <w:pPr>
        <w:pStyle w:val="Heading2"/>
      </w:pPr>
      <w:r>
        <w:t xml:space="preserve">5.1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Survey delivery and response tracking across program areas</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organizational calendar system for availability visibility and ad-hoc appointment creation</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5.2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5.3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Calendar System — </w:t>
      </w:r>
      <w:r>
        <w:rPr>
          <w:rFonts w:ascii="Arial" w:cs="Arial" w:eastAsia="Arial" w:hAnsi="Arial"/>
          <w:sz w:val="22"/>
          <w:szCs w:val="22"/>
        </w:rPr>
        <w:t xml:space="preserve">The CRM connects to the organizational calendar system to display user availability when scheduling sessions and meetings. Availability reflects all calendars linked to the user’s organizational calendar account, including personal calendars the user has configured. Users can also create ad-hoc appointments on their organizational calendar directly from the CRM.</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p>
      <w:pPr>
        <w:pStyle w:val="Heading2"/>
      </w:pPr>
      <w:r>
        <w:t xml:space="preserve">5.4 Universal Contact-Creation Rules</w:t>
      </w:r>
    </w:p>
    <w:p>
      <w:pPr>
        <w:spacing w:after="120"/>
      </w:pPr>
      <w:r>
        <w:rPr>
          <w:rFonts w:ascii="Arial" w:cs="Arial" w:eastAsia="Arial" w:hAnsi="Arial"/>
          <w:sz w:val="22"/>
          <w:szCs w:val="22"/>
        </w:rPr>
        <w:t xml:space="preserve">The CRM applies a uniform set of rules to every Contact-creation pathway across all domains. These rules ensure consistency in how Contact records are created, how they are linked to Account records, and how their initial type and lifecycle state are established. The full specification is in the CR-MARKETING Sub-Domain Overview Section 4.4. The rules in summary are:</w:t>
      </w:r>
    </w:p>
    <w:p>
      <w:pPr>
        <w:pStyle w:val="ListParagraph"/>
        <w:numPr>
          <w:ilvl w:val="0"/>
          <w:numId w:val="2"/>
        </w:numPr>
        <w:spacing w:after="40"/>
      </w:pPr>
      <w:r>
        <w:rPr>
          <w:rFonts w:ascii="Arial" w:cs="Arial" w:eastAsia="Arial" w:hAnsi="Arial"/>
          <w:b/>
          <w:bCs/>
          <w:sz w:val="22"/>
          <w:szCs w:val="22"/>
        </w:rPr>
        <w:t xml:space="preserve">Optional company information on every form. </w:t>
      </w:r>
      <w:r>
        <w:rPr>
          <w:rFonts w:ascii="Arial" w:cs="Arial" w:eastAsia="Arial" w:hAnsi="Arial"/>
          <w:sz w:val="22"/>
          <w:szCs w:val="22"/>
        </w:rPr>
        <w:t xml:space="preserve">Every Contact-creation form (web inquiry, event registration, mentor application, partner contact intake, donor signup, etc.) presents two optional fields: company name and company website. The fields are always offered, never required.</w:t>
      </w:r>
    </w:p>
    <w:p>
      <w:pPr>
        <w:pStyle w:val="ListParagraph"/>
        <w:numPr>
          <w:ilvl w:val="0"/>
          <w:numId w:val="2"/>
        </w:numPr>
        <w:spacing w:after="40"/>
      </w:pPr>
      <w:r>
        <w:rPr>
          <w:rFonts w:ascii="Arial" w:cs="Arial" w:eastAsia="Arial" w:hAnsi="Arial"/>
          <w:b/>
          <w:bCs/>
          <w:sz w:val="22"/>
          <w:szCs w:val="22"/>
        </w:rPr>
        <w:t xml:space="preserve">Hardcoded contactType per form. </w:t>
      </w:r>
      <w:r>
        <w:rPr>
          <w:rFonts w:ascii="Arial" w:cs="Arial" w:eastAsia="Arial" w:hAnsi="Arial"/>
          <w:sz w:val="22"/>
          <w:szCs w:val="22"/>
        </w:rPr>
        <w:t xml:space="preserve">The contactType for Contacts created through a given form is determined by the form’s configuration, not by user selection. A mentor application form creates Mentor contacts; a client inquiry form creates Client contacts; a partner contact intake form creates Partner contacts.</w:t>
      </w:r>
    </w:p>
    <w:p>
      <w:pPr>
        <w:pStyle w:val="ListParagraph"/>
        <w:numPr>
          <w:ilvl w:val="0"/>
          <w:numId w:val="2"/>
        </w:numPr>
        <w:spacing w:after="40"/>
      </w:pPr>
      <w:r>
        <w:rPr>
          <w:rFonts w:ascii="Arial" w:cs="Arial" w:eastAsia="Arial" w:hAnsi="Arial"/>
          <w:b/>
          <w:bCs/>
          <w:sz w:val="22"/>
          <w:szCs w:val="22"/>
        </w:rPr>
        <w:t xml:space="preserve">CSV imports require explicit contactType assignment. </w:t>
      </w:r>
      <w:r>
        <w:rPr>
          <w:rFonts w:ascii="Arial" w:cs="Arial" w:eastAsia="Arial" w:hAnsi="Arial"/>
          <w:sz w:val="22"/>
          <w:szCs w:val="22"/>
        </w:rPr>
        <w:t xml:space="preserve">Bulk CSV imports either select a contactType for the entire import or read it from a per-row column.</w:t>
      </w:r>
    </w:p>
    <w:p>
      <w:pPr>
        <w:pStyle w:val="ListParagraph"/>
        <w:numPr>
          <w:ilvl w:val="0"/>
          <w:numId w:val="2"/>
        </w:numPr>
        <w:spacing w:after="40"/>
      </w:pPr>
      <w:r>
        <w:rPr>
          <w:rFonts w:ascii="Arial" w:cs="Arial" w:eastAsia="Arial" w:hAnsi="Arial"/>
          <w:b/>
          <w:bCs/>
          <w:sz w:val="22"/>
          <w:szCs w:val="22"/>
        </w:rPr>
        <w:t xml:space="preserve">contactType determines type-specific creation logic. </w:t>
      </w:r>
      <w:r>
        <w:rPr>
          <w:rFonts w:ascii="Arial" w:cs="Arial" w:eastAsia="Arial" w:hAnsi="Arial"/>
          <w:sz w:val="22"/>
          <w:szCs w:val="22"/>
        </w:rPr>
        <w:t xml:space="preserve">Once a Contact is created with a known contactType, type-specific business logic runs as appropriate (lifecycle field initialization, default values, type-specific workflow triggers).</w:t>
      </w:r>
    </w:p>
    <w:p>
      <w:pPr>
        <w:pStyle w:val="ListParagraph"/>
        <w:numPr>
          <w:ilvl w:val="0"/>
          <w:numId w:val="2"/>
        </w:numPr>
        <w:spacing w:after="40"/>
      </w:pPr>
      <w:r>
        <w:rPr>
          <w:rFonts w:ascii="Arial" w:cs="Arial" w:eastAsia="Arial" w:hAnsi="Arial"/>
          <w:b/>
          <w:bCs/>
          <w:sz w:val="22"/>
          <w:szCs w:val="22"/>
        </w:rPr>
        <w:t xml:space="preserve">Account matching is contactType-agnostic. </w:t>
      </w:r>
      <w:r>
        <w:rPr>
          <w:rFonts w:ascii="Arial" w:cs="Arial" w:eastAsia="Arial" w:hAnsi="Arial"/>
          <w:sz w:val="22"/>
          <w:szCs w:val="22"/>
        </w:rPr>
        <w:t xml:space="preserve">When company information is provided, the same Account precedence ladder runs (website match → exact name match → manual or new) regardless of the Contact’s contactType. The native Account.website field is the basis for automatic matching.</w:t>
      </w:r>
    </w:p>
    <w:p>
      <w:pPr>
        <w:spacing w:after="120"/>
      </w:pPr>
      <w:r>
        <w:rPr>
          <w:rFonts w:ascii="Arial" w:cs="Arial" w:eastAsia="Arial" w:hAnsi="Arial"/>
          <w:sz w:val="22"/>
          <w:szCs w:val="22"/>
        </w:rPr>
        <w:t xml:space="preserve">All domains and sub-domains that introduce Contact-creation pathways (CR, MN, MR, FU, plus any cross-domain services) must comply with these rules. The rules apply equally to web forms, CSV imports, single-record manual creation, and any other inbound creation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