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rPr>
          <w:rFonts w:ascii="Arial" w:cs="Arial" w:eastAsia="Arial" w:hAnsi="Arial"/>
          <w:b/>
          <w:bCs/>
          <w:color w:val="1F4E79"/>
          <w:sz w:val="52"/>
          <w:szCs w:val="52"/>
        </w:rPr>
        <w:t xml:space="preserve">Cleveland Business Mentors</w:t>
      </w:r>
    </w:p>
    <w:p>
      <w:pPr>
        <w:spacing w:after="120"/>
        <w:jc w:val="center"/>
      </w:pPr>
      <w:r>
        <w:rPr>
          <w:rFonts w:ascii="Arial" w:cs="Arial" w:eastAsia="Arial" w:hAnsi="Arial"/>
          <w:color w:val="595959"/>
          <w:sz w:val="28"/>
          <w:szCs w:val="28"/>
        </w:rPr>
        <w:t xml:space="preserve">CRM Design &amp; Implementation: Client</w:t>
      </w:r>
    </w:p>
    <w:p>
      <w:pPr>
        <w:spacing w:after="480"/>
        <w:jc w:val="center"/>
      </w:pPr>
      <w:r>
        <w:rPr>
          <w:rFonts w:ascii="Arial" w:cs="Arial" w:eastAsia="Arial" w:hAnsi="Arial"/>
          <w:color w:val="595959"/>
          <w:sz w:val="22"/>
          <w:szCs w:val="22"/>
        </w:rPr>
        <w:t xml:space="preserve">Version 0.2  |  In Progress  |  March 15, 2026</w:t>
      </w:r>
    </w:p>
    <w:p>
      <w:pPr>
        <w:pBdr>
          <w:bottom w:val="single" w:color="1F4E79" w:sz="6" w:space="1"/>
        </w:pBdr>
      </w:pPr>
      <w:r>
        <w:t xml:space="preserve"/>
      </w:r>
    </w:p>
    <w:p>
      <w:r>
        <w:t xml:space="preserve"/>
      </w:r>
    </w:p>
    <w:p>
      <w:pPr>
        <w:pStyle w:val="Heading1"/>
      </w:pPr>
      <w:r>
        <w:t xml:space="preserve">1. Overview</w:t>
      </w:r>
    </w:p>
    <w:p>
      <w:pPr>
        <w:spacing w:after="120"/>
      </w:pPr>
      <w:r>
        <w:t xml:space="preserve">This document defines the complete CRM design and implementation specification for the Client domain within EspoCRM. It covers all client data structures, field definitions, entity relationships, workflows and automation, and role-based security rules.</w:t>
      </w:r>
    </w:p>
    <w:p>
      <w:pPr>
        <w:spacing w:after="120"/>
      </w:pPr>
      <w:r>
        <w:t xml:space="preserve">This document is intended for use by the CBM technology administrator during EspoCRM configuration and by future technical staff onboarding to the platform.</w:t>
      </w:r>
    </w:p>
    <w:p>
      <w:pPr>
        <w:spacing w:after="120"/>
      </w:pPr>
      <w:r>
        <w:t xml:space="preserve">Related documents: CBM-PRD-CRM.docx (platform requirements), CBM-PRD-CRM-Mentor.docx (mentor domain).</w:t>
      </w:r>
    </w:p>
    <w:p>
      <w:r>
        <w:t xml:space="preserve"/>
      </w:r>
    </w:p>
    <w:p>
      <w:pPr>
        <w:pStyle w:val="Heading1"/>
      </w:pPr>
      <w:r>
        <w:t xml:space="preserve">2. Data Structure</w:t>
      </w:r>
    </w:p>
    <w:p>
      <w:pPr>
        <w:pStyle w:val="Heading2"/>
      </w:pPr>
      <w:r>
        <w:t xml:space="preserve">2.1 Data Model Overview</w:t>
      </w:r>
    </w:p>
    <w:p>
      <w:pPr>
        <w:spacing w:after="120"/>
      </w:pPr>
      <w:r>
        <w:t xml:space="preserve">The client domain is built around four primary entities and two supporting entities. When a prospective client submits a Mentoring Request through the CBM website, the system automatically creates three linked records: an Account (the business), a Contact (the individual submitting the form), and an Engagement (the mentoring relationship, initially in Submitted status). All subsequent activity — sessions, NPS surveys, and workshop attendance — is linked to these anchor records.</w:t>
      </w:r>
    </w:p>
    <w:p>
      <w:r>
        <w:t xml:space="preserve"/>
      </w:r>
    </w:p>
    <w:p>
      <w:pPr>
        <w:spacing w:after="120"/>
      </w:pPr>
      <w:r>
        <w:t xml:space="preserve">The six entities in the client domain are:</w:t>
      </w:r>
    </w:p>
    <w:p>
      <w:pPr>
        <w:numPr>
          <w:ilvl w:val="0"/>
          <w:numId w:val="1"/>
        </w:numPr>
        <w:spacing w:after="60"/>
      </w:pPr>
      <w:r>
        <w:t xml:space="preserve">Account — the business being mentored</w:t>
      </w:r>
    </w:p>
    <w:p>
      <w:pPr>
        <w:numPr>
          <w:ilvl w:val="0"/>
          <w:numId w:val="1"/>
        </w:numPr>
        <w:spacing w:after="60"/>
      </w:pPr>
      <w:r>
        <w:t xml:space="preserve">Contact — individual person(s) associated with the business</w:t>
      </w:r>
    </w:p>
    <w:p>
      <w:pPr>
        <w:numPr>
          <w:ilvl w:val="0"/>
          <w:numId w:val="1"/>
        </w:numPr>
        <w:spacing w:after="60"/>
      </w:pPr>
      <w:r>
        <w:t xml:space="preserve">Engagement — the active mentoring relationship</w:t>
      </w:r>
    </w:p>
    <w:p>
      <w:pPr>
        <w:numPr>
          <w:ilvl w:val="0"/>
          <w:numId w:val="1"/>
        </w:numPr>
        <w:spacing w:after="60"/>
      </w:pPr>
      <w:r>
        <w:t xml:space="preserve">Session — individual meeting records between mentor and client</w:t>
      </w:r>
    </w:p>
    <w:p>
      <w:pPr>
        <w:numPr>
          <w:ilvl w:val="0"/>
          <w:numId w:val="1"/>
        </w:numPr>
        <w:spacing w:after="60"/>
      </w:pPr>
      <w:r>
        <w:t xml:space="preserve">NPS Survey Response — client satisfaction feedback records</w:t>
      </w:r>
    </w:p>
    <w:p>
      <w:pPr>
        <w:numPr>
          <w:ilvl w:val="0"/>
          <w:numId w:val="1"/>
        </w:numPr>
        <w:spacing w:after="60"/>
      </w:pPr>
      <w:r>
        <w:t xml:space="preserve">Workshop — structured events offered by CBM</w:t>
      </w:r>
    </w:p>
    <w:p>
      <w:pPr>
        <w:numPr>
          <w:ilvl w:val="0"/>
          <w:numId w:val="1"/>
        </w:numPr>
        <w:spacing w:after="60"/>
      </w:pPr>
      <w:r>
        <w:t xml:space="preserve">Workshop Attendance — records linking clients to workshops attended</w:t>
      </w:r>
    </w:p>
    <w:p>
      <w:r>
        <w:t xml:space="preserve"/>
      </w:r>
    </w:p>
    <w:p>
      <w:pPr>
        <w:pStyle w:val="Heading2"/>
      </w:pPr>
      <w:r>
        <w:t xml:space="preserve">2.2 Account Entity</w:t>
      </w:r>
    </w:p>
    <w:p>
      <w:pPr>
        <w:spacing w:after="120"/>
      </w:pPr>
      <w:r>
        <w:t xml:space="preserve">The Account entity represents the business being mentored. It is the anchor record to which all Contacts, Engagements, and related activity are linked. Account data is collected in two phases: Phase 1 fields are captured on the public Mentoring Request intake form; Phase 2 fields are collected via a second form sent to the client after a mentor has been assigned.</w:t>
      </w:r>
    </w:p>
    <w:p>
      <w:r>
        <w:t xml:space="preserve"/>
      </w:r>
    </w:p>
    <w:p>
      <w:pPr>
        <w:pStyle w:val="Heading3"/>
      </w:pPr>
      <w:r>
        <w:t xml:space="preserve">Phase 1 — Intake Fields</w:t>
      </w:r>
    </w:p>
    <w:p>
      <w:pPr>
        <w:spacing w:after="120"/>
      </w:pPr>
      <w:r>
        <w:t xml:space="preserve">These fields are collected on the public Mentoring Request form and must be sufficient to allow an admin to identify and assign an appropriate mentor.</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Business Name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Full legal or operating name of the business. Required.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Website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Business website URL. Optional. URL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Address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Business mailing or physical address. Optional. Address field (street, city, state, zip).</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Organization Type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For-Profit | Non-Profit.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Business Stage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Pre-Startup | Startup | Early Stage | Growth Stage | Established. Required. Note: Revenue thresholds to differentiate Startup from Early Stage are a planned future enhancement.</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NAICS Sector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Top-level industry classification. Dropdown of 20 NAICS sectors.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NAICS Subsector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Second-level industry classification. Dropdown of ~100 NAICS subsectors, filtered by selected Sector on the intake form. Both Sector and Subsector are stored as separate fields on the Account record.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Mentoring Focus Areas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Multi-select dropdown. Values to be defined by CBM leadership. Required. Used for mentor matching and funder reporting.</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Mentoring Needs Description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Free-form description of what the client is looking for in a mentoring engagement. Rich text. Required.</w:t>
            </w:r>
          </w:p>
        </w:tc>
      </w:tr>
    </w:tbl>
    <w:p>
      <w:r>
        <w:t xml:space="preserve"/>
      </w:r>
    </w:p>
    <w:p>
      <w:pPr>
        <w:pStyle w:val="Heading3"/>
      </w:pPr>
      <w:r>
        <w:t xml:space="preserve">Phase 2 — Post-Assignment Fields</w:t>
      </w:r>
    </w:p>
    <w:p>
      <w:pPr>
        <w:spacing w:after="120"/>
      </w:pPr>
      <w:r>
        <w:t xml:space="preserve">These fields are collected via a second form sent to the client after a mentor has been assigned. The Phase 2 form is triggered by the mentor assignment workflow. All free-text fields in Phase 2 support rich text formatting.</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Business Description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Detailed description of what the business does, its history, and founding story.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Time in Operation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How long the business has been operating. Dropdown or date field.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Current Team Size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Number of current employees or team members. Number field.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Revenue Range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Approximate annual revenue range. Dropdown with ranges (TBD).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Funding Situation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Description of current funding sources or needs.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Current Challenges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Description of the primary obstacles the business is facing. Rich text.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Goals and Objectives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What the client wants to achieve through the mentoring engagement.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Desired Outcomes (6-12 Months)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Specific outcomes the client hopes to achieve within the near term. Rich text.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Previous Mentoring/Advisory Experience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Whether the client has worked with a mentor or advisor before, and any relevant context.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Current Professional Advisors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Multi-select checklist of advisor types currently engaged. Values: Banker / Financial Institution | Attorney / Legal Counsel | Accountant / CPA | IT Consultant | Insurance Agent | Marketing / PR Consultant | Business Coach.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Registered with State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Whether the business has filed with the state as an official legal entity. Yes/No.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State of Registration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State where the business is registered. Dropdown of US states. Shown when Registered with State = Yes.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Legal Business Structure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Sole Proprietor | Partnership | LLC | S-Corp | C-Corp | Non-Profit 501(c)(3) | Other. Shown when Registered with State = Yes.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EIN on File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Whether the business has obtained an Employer Identification Number. Yes/No. Shown when Registered with State = Yes.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 of Formation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 the business entity was formally established. Date field. Shown when Registered with State = Yes.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Registered Agent</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Whether the business has a designated registered agent. Yes/No. Shown when Registered with State = Yes.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EIN Number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The actual EIN number if deemed relevant by the mentor. Text field. Admin and assigned mentor access only. Not collected on the intake form — mentor-populated only. Restricted field.</w:t>
            </w:r>
          </w:p>
        </w:tc>
      </w:tr>
    </w:tbl>
    <w:p>
      <w:r>
        <w:t xml:space="preserve"/>
      </w:r>
    </w:p>
    <w:p>
      <w:pPr>
        <w:pStyle w:val="Heading2"/>
      </w:pPr>
      <w:r>
        <w:t xml:space="preserve">2.3 Contact Entity</w:t>
      </w:r>
    </w:p>
    <w:p>
      <w:pPr>
        <w:spacing w:after="120"/>
      </w:pPr>
      <w:r>
        <w:t xml:space="preserve">The Contact entity represents an individual person associated with a business being mentored. Multiple contacts may be linked to a single Account. The person who submits the Phase 1 intake form automatically becomes the first Contact linked to the Account. Additional contacts can be added by an admin or mentor as the engagement progresses.</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First Name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Contact's first name. Required.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Last Name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Contact's last name. Required. Text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Email</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Primary email address. Required. Email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Phone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Primary phone number. Optional. Phone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Role at Business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The contact's title or position within the business (e.g., Owner, Co-Founder, CEO, Manager). Optional.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Primary Contact</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Identifies the main point of contact for the Account when multiple contacts are present. Yes/No checkbox. Defaults to Yes for the first contact created.</w:t>
            </w:r>
          </w:p>
        </w:tc>
      </w:tr>
    </w:tbl>
    <w:p>
      <w:r>
        <w:t xml:space="preserve"/>
      </w:r>
    </w:p>
    <w:p>
      <w:pPr>
        <w:pStyle w:val="Heading2"/>
      </w:pPr>
      <w:r>
        <w:t xml:space="preserve">2.4 Engagement Entity</w:t>
      </w:r>
    </w:p>
    <w:p>
      <w:pPr>
        <w:spacing w:after="120"/>
      </w:pPr>
      <w:r>
        <w:t xml:space="preserve">The Engagement entity represents the active mentoring relationship between CBM and a client business. It is linked to an Account and tracks the lifecycle, mentor assignments, and summary analytics for the relationship. Individual sessions, NPS responses, and workshop attendance are all linked to the Engagement.</w:t>
      </w:r>
    </w:p>
    <w:p>
      <w:r>
        <w:t xml:space="preserve"/>
      </w:r>
    </w:p>
    <w:p>
      <w:pPr>
        <w:pStyle w:val="Heading3"/>
      </w:pPr>
      <w:r>
        <w:t xml:space="preserve">Status Lifecycle</w:t>
      </w:r>
    </w:p>
    <w:p>
      <w:pPr>
        <w:spacing w:after="120"/>
      </w:pPr>
      <w:r>
        <w:t xml:space="preserve">Engagements progress through the following statuses:</w:t>
      </w:r>
    </w:p>
    <w:p>
      <w:pPr>
        <w:numPr>
          <w:ilvl w:val="0"/>
          <w:numId w:val="1"/>
        </w:numPr>
        <w:spacing w:after="60"/>
      </w:pPr>
      <w:r>
        <w:t xml:space="preserve">Submitted — Mentoring Request received; pending admin review and mentor assignment.</w:t>
      </w:r>
    </w:p>
    <w:p>
      <w:pPr>
        <w:numPr>
          <w:ilvl w:val="0"/>
          <w:numId w:val="1"/>
        </w:numPr>
        <w:spacing w:after="60"/>
      </w:pPr>
      <w:r>
        <w:t xml:space="preserve">Assigned — A mentor has been identified and assigned; Phase 2 form has been sent to the client.</w:t>
      </w:r>
    </w:p>
    <w:p>
      <w:pPr>
        <w:numPr>
          <w:ilvl w:val="0"/>
          <w:numId w:val="1"/>
        </w:numPr>
        <w:spacing w:after="60"/>
      </w:pPr>
      <w:r>
        <w:t xml:space="preserve">Active — Mentoring is underway; sessions are being logged.</w:t>
      </w:r>
    </w:p>
    <w:p>
      <w:pPr>
        <w:numPr>
          <w:ilvl w:val="0"/>
          <w:numId w:val="1"/>
        </w:numPr>
        <w:spacing w:after="60"/>
      </w:pPr>
      <w:r>
        <w:t xml:space="preserve">On-Hold — A deliberate, temporary pause initiated by the client or mentor with intent to resume.</w:t>
      </w:r>
    </w:p>
    <w:p>
      <w:pPr>
        <w:numPr>
          <w:ilvl w:val="0"/>
          <w:numId w:val="1"/>
        </w:numPr>
        <w:spacing w:after="60"/>
      </w:pPr>
      <w:r>
        <w:t xml:space="preserve">Inactive — Activity has ceased without a formal hold; typically triggered by lack of client response.</w:t>
      </w:r>
    </w:p>
    <w:p>
      <w:pPr>
        <w:numPr>
          <w:ilvl w:val="0"/>
          <w:numId w:val="1"/>
        </w:numPr>
        <w:spacing w:after="60"/>
      </w:pPr>
      <w:r>
        <w:t xml:space="preserve">Abandoned — Inactive for a configurable period (default: 90 days) with no response. Treated as permanently closed. The Inactive-to-Abandoned threshold is an admin-configurable system setting.</w:t>
      </w:r>
    </w:p>
    <w:p>
      <w:pPr>
        <w:numPr>
          <w:ilvl w:val="0"/>
          <w:numId w:val="1"/>
        </w:numPr>
        <w:spacing w:after="60"/>
      </w:pPr>
      <w:r>
        <w:t xml:space="preserve">Completed — The engagement was formally closed with goals achieved or mutually agreed conclusion.</w:t>
      </w:r>
    </w:p>
    <w:p>
      <w:r>
        <w:t xml:space="preserve"/>
      </w:r>
    </w:p>
    <w:p>
      <w:pPr>
        <w:pStyle w:val="Heading3"/>
      </w:pPr>
      <w:r>
        <w:t xml:space="preserve">Engagement Fields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Account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Account (business)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Status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Submitted | Assigned | Active | On-Hold | Inactive | Abandoned | Completed.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Start Date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 the engagement officially became Active. Date field. System-populated on status change to Active.</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Close Date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the engagement was closed (Completed or Abandoned). Date field. System-populated on status change to Completed or Abandoned.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Assigned Mentor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primary mentor Contact record. Required when status is Assigned or later.</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Co-Mentor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Link to an optional co-mentor Contact record.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an optional subject matter expert Contact record.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Engagement Close Reason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Goals Achieved | Client Withdrew | Inactive / No Response | Other. Required when status is Completed or Abandoned.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Total Sessions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Count of all linked Session records. System-calculated (formula field).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Total Sessions (Last 30 Days)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Count of Session records dated within the last 30 days. System-calculated (formula field). Read-only. Used for inactivity monitoring.</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Last Session Date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Date/time of the most recent linked Session record. System-calculated (formula field).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Total Session Hours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Sum of Duration (minutes) across all linked Session records, expressed in hours. System-calculated (formula field). Read-only.</w:t>
            </w:r>
          </w:p>
        </w:tc>
      </w:tr>
    </w:tbl>
    <w:p>
      <w:r>
        <w:t xml:space="preserve"/>
      </w:r>
    </w:p>
    <w:p>
      <w:pPr>
        <w:pStyle w:val="Heading2"/>
      </w:pPr>
      <w:r>
        <w:t xml:space="preserve">2.5 Session Entity</w:t>
      </w:r>
    </w:p>
    <w:p>
      <w:pPr>
        <w:spacing w:after="120"/>
      </w:pPr>
      <w:r>
        <w:t xml:space="preserve">The Session entity records each individual meeting between a mentor and client. Sessions are linked to an Engagement and drive both the roll-up analytics on the Engagement record and the NPS survey trigger logic. All note fields support rich text formatting.</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Engagement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parent Engagement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Session 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and time the session occurred. Required. Date/time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Duration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Length of the session in minutes. Required. Number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Session Type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In-Person | Video Call | Phone Call.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Meeting Location Type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CBM Office | Client's Place of Business | Other. Shown only when Session Type = In-Person. Required when In-Person.</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Location Details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Free text description of the meeting location. Shown only when Meeting Location Type = Other. Optional. Text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Topics Covered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Multi-select dropdown of topic categories (values TBD) plus a free-text rich text field for additional detail.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 Notes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Private notes from the mentor about the session content, observations, and context. Rich text. Access restricted to assigned mentor and admin.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Next Steps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Agreed-upon actions and follow-up items coming out of the session.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New Business Started</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Whether this session resulted in the start of a new business. Yes/No. Optional.</w:t>
            </w:r>
          </w:p>
        </w:tc>
      </w:tr>
    </w:tbl>
    <w:p>
      <w:r>
        <w:t xml:space="preserve"/>
      </w:r>
    </w:p>
    <w:p>
      <w:pPr>
        <w:pStyle w:val="Heading2"/>
      </w:pPr>
      <w:r>
        <w:t xml:space="preserve">2.6 NPS Survey Response Entity</w:t>
      </w:r>
    </w:p>
    <w:p>
      <w:pPr>
        <w:spacing w:after="120"/>
      </w:pPr>
      <w:r>
        <w:t xml:space="preserve">The NPS Survey Response entity captures client satisfaction feedback at defined points in the engagement lifecycle. Surveys are triggered automatically by the system at three points: after the 2nd session, every 5 sessions thereafter, and at engagement close.</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Engagement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parent Engagement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Session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Link to the Session record that triggered the survey, where applicable. Optional. Relationship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Survey Trigger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System-populated field indicating what triggered this survey. Dropdown. Values: 2nd Session | Every 5 Sessions | Engagement Close.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Survey 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and time the survey response was submitted. System-populated. Read-only.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NPS Score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Standard NPS question: How likely are you to recommend CBM to a friend or colleague? Scale of 0-10.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Did CBM Help You?</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Yes/No.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 Would Return to See This Mentor Again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Rating scale 1-5.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 Listened and Understood My Needs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Rating scale 1-5.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How Could CBM Better Meet Your Needs?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Open-ended feedback on how CBM could improve. Rich text. Optional.</w:t>
            </w:r>
          </w:p>
        </w:tc>
      </w:tr>
    </w:tbl>
    <w:p>
      <w:r>
        <w:t xml:space="preserve"/>
      </w:r>
    </w:p>
    <w:p>
      <w:pPr>
        <w:pStyle w:val="Heading2"/>
      </w:pPr>
      <w:r>
        <w:t xml:space="preserve">2.7 Workshop Entity</w:t>
      </w:r>
    </w:p>
    <w:p>
      <w:pPr>
        <w:spacing w:after="120"/>
      </w:pPr>
      <w:r>
        <w:t xml:space="preserve">The Workshop entity represents a structured event offered by CBM that clients may attend independently of their mentoring engagement. Workshops are tracked for both reporting purposes and to give mentors visibility into the learning activities of their assigned clients.</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Title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Name of the workshop. Required.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Scheduled date and time of the workshop. Required. Date/time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Topic/Category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Primary topic area of the workshop. Dropdown, aligned with Mentoring Focus Areas values (TBD).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Presenter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Name or link to the presenter. Optional. Text or Contact relationship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Location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Where the workshop is held. Optional. Text or address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Description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Detailed description of the workshop content and objectives. Rich text.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Maximum Capacity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Maximum number of attendees. Optional. Number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Status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Scheduled | Completed | Cancelled. Required.</w:t>
            </w:r>
          </w:p>
        </w:tc>
      </w:tr>
    </w:tbl>
    <w:p>
      <w:r>
        <w:t xml:space="preserve"/>
      </w:r>
    </w:p>
    <w:p>
      <w:pPr>
        <w:pStyle w:val="Heading2"/>
      </w:pPr>
      <w:r>
        <w:t xml:space="preserve">2.8 Workshop Attendance Entity</w:t>
      </w:r>
    </w:p>
    <w:p>
      <w:pPr>
        <w:spacing w:after="120"/>
      </w:pPr>
      <w:r>
        <w:t xml:space="preserve">The Workshop Attendance entity links a client Contact to a Workshop they registered for or attended. It allows mentors to see which workshops their clients have participated in and supports attendance reporting for CBM.</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Workshop</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Workshop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Contact</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Link to the client Contact record. Required. Relationship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Engagement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active Engagement record for context.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Attendance Date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of the workshop. System-populated from the linked Workshop record. Read-only.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Attended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Whether the client actually attended (as opposed to only registering). Yes/No. Required. Defaults to Yes.</w:t>
            </w:r>
          </w:p>
        </w:tc>
      </w:tr>
    </w:tbl>
    <w:p>
      <w:r>
        <w:t xml:space="preserve"/>
      </w:r>
    </w:p>
    <w:p>
      <w:pPr>
        <w:pStyle w:val="Heading1"/>
      </w:pPr>
      <w:r>
        <w:t xml:space="preserve">3. Relationships</w:t>
      </w:r>
    </w:p>
    <w:p>
      <w:pPr>
        <w:pStyle w:val="Heading2"/>
      </w:pPr>
      <w:r>
        <w:t xml:space="preserve">3.1 Client → Engagement</w:t>
      </w:r>
    </w:p>
    <w:p>
      <w:pPr>
        <w:spacing w:after="120"/>
      </w:pPr>
      <w:r>
        <w:rPr>
          <w:i/>
          <w:iCs/>
          <w:color w:val="888888"/>
        </w:rPr>
        <w:t xml:space="preserve">[PLACEHOLDER: Define the relationship between client records and engagement records. Include relationship type, how the relationship is created, and what data is visible from each side.]</w:t>
      </w:r>
    </w:p>
    <w:p>
      <w:r>
        <w:t xml:space="preserve"/>
      </w:r>
    </w:p>
    <w:p>
      <w:pPr>
        <w:pStyle w:val="Heading2"/>
      </w:pPr>
      <w:r>
        <w:t xml:space="preserve">3.2 Client → Mentor</w:t>
      </w:r>
    </w:p>
    <w:p>
      <w:pPr>
        <w:spacing w:after="120"/>
      </w:pPr>
      <w:r>
        <w:rPr>
          <w:i/>
          <w:iCs/>
          <w:color w:val="888888"/>
        </w:rPr>
        <w:t xml:space="preserve">[PLACEHOLDER: Define how clients relate to mentors — through engagement entity. Access scope rules — clients never access CRM directly.]</w:t>
      </w:r>
    </w:p>
    <w:p>
      <w:r>
        <w:t xml:space="preserve"/>
      </w:r>
    </w:p>
    <w:p>
      <w:pPr>
        <w:pStyle w:val="Heading2"/>
      </w:pPr>
      <w:r>
        <w:t xml:space="preserve">3.3 Client → Sessions</w:t>
      </w:r>
    </w:p>
    <w:p>
      <w:pPr>
        <w:spacing w:after="120"/>
      </w:pPr>
      <w:r>
        <w:rPr>
          <w:i/>
          <w:iCs/>
          <w:color w:val="888888"/>
        </w:rPr>
        <w:t xml:space="preserve">[PLACEHOLDER: Define the relationship between client records and logged session records. What session data is visible and to whom.]</w:t>
      </w:r>
    </w:p>
    <w:p>
      <w:r>
        <w:t xml:space="preserve"/>
      </w:r>
    </w:p>
    <w:p>
      <w:pPr>
        <w:pStyle w:val="Heading2"/>
      </w:pPr>
      <w:r>
        <w:t xml:space="preserve">3.4 Client → NPS Responses</w:t>
      </w:r>
    </w:p>
    <w:p>
      <w:pPr>
        <w:spacing w:after="120"/>
      </w:pPr>
      <w:r>
        <w:rPr>
          <w:i/>
          <w:iCs/>
          <w:color w:val="888888"/>
        </w:rPr>
        <w:t xml:space="preserve">[PLACEHOLDER: Define how NPS survey responses are linked to client and engagement records.]</w:t>
      </w:r>
    </w:p>
    <w:p>
      <w:r>
        <w:t xml:space="preserve"/>
      </w:r>
    </w:p>
    <w:p>
      <w:pPr>
        <w:pStyle w:val="Heading2"/>
      </w:pPr>
      <w:r>
        <w:t xml:space="preserve">3.5 Client → Workshop Attendance</w:t>
      </w:r>
    </w:p>
    <w:p>
      <w:pPr>
        <w:spacing w:after="120"/>
      </w:pPr>
      <w:r>
        <w:rPr>
          <w:i/>
          <w:iCs/>
          <w:color w:val="888888"/>
        </w:rPr>
        <w:t xml:space="preserve">[PLACEHOLDER: Define how workshop and event attendance records relate to the client entity.]</w:t>
      </w:r>
    </w:p>
    <w:p>
      <w:r>
        <w:t xml:space="preserve"/>
      </w:r>
    </w:p>
    <w:p>
      <w:pPr>
        <w:pStyle w:val="Heading1"/>
      </w:pPr>
      <w:r>
        <w:t xml:space="preserve">4. Processes &amp; Workflows</w:t>
      </w:r>
    </w:p>
    <w:p>
      <w:pPr>
        <w:pStyle w:val="Heading2"/>
      </w:pPr>
      <w:r>
        <w:t xml:space="preserve">4.1 Client Intake</w:t>
      </w:r>
    </w:p>
    <w:p>
      <w:pPr>
        <w:spacing w:after="120"/>
      </w:pPr>
      <w:r>
        <w:rPr>
          <w:i/>
          <w:iCs/>
          <w:color w:val="888888"/>
        </w:rPr>
        <w:t xml:space="preserve">[PLACEHOLDER: Step-by-step intake process — form submission on website, CRM record creation, admin review, mentor assignment, introduction email trigger.]</w:t>
      </w:r>
    </w:p>
    <w:p>
      <w:r>
        <w:t xml:space="preserve"/>
      </w:r>
    </w:p>
    <w:p>
      <w:pPr>
        <w:pStyle w:val="Heading2"/>
      </w:pPr>
      <w:r>
        <w:t xml:space="preserve">4.2 Mentor Assignment</w:t>
      </w:r>
    </w:p>
    <w:p>
      <w:pPr>
        <w:spacing w:after="120"/>
      </w:pPr>
      <w:r>
        <w:rPr>
          <w:i/>
          <w:iCs/>
          <w:color w:val="888888"/>
        </w:rPr>
        <w:t xml:space="preserve">[PLACEHOLDER: Workflow for matching and assigning a mentor to a client — admin review, matching criteria, assignment record creation, notifications.]</w:t>
      </w:r>
    </w:p>
    <w:p>
      <w:r>
        <w:t xml:space="preserve"/>
      </w:r>
    </w:p>
    <w:p>
      <w:pPr>
        <w:pStyle w:val="Heading2"/>
      </w:pPr>
      <w:r>
        <w:t xml:space="preserve">4.3 Session Logging</w:t>
      </w:r>
    </w:p>
    <w:p>
      <w:pPr>
        <w:spacing w:after="120"/>
      </w:pPr>
      <w:r>
        <w:rPr>
          <w:i/>
          <w:iCs/>
          <w:color w:val="888888"/>
        </w:rPr>
        <w:t xml:space="preserve">[PLACEHOLDER: Process for logging a mentoring session against a client record — fields captured, who logs, how it updates engagement record and KPIs.]</w:t>
      </w:r>
    </w:p>
    <w:p>
      <w:r>
        <w:t xml:space="preserve"/>
      </w:r>
    </w:p>
    <w:p>
      <w:pPr>
        <w:pStyle w:val="Heading2"/>
      </w:pPr>
      <w:r>
        <w:t xml:space="preserve">4.4 NPS Survey Triggers</w:t>
      </w:r>
    </w:p>
    <w:p>
      <w:pPr>
        <w:spacing w:after="120"/>
      </w:pPr>
      <w:r>
        <w:rPr>
          <w:i/>
          <w:iCs/>
          <w:color w:val="888888"/>
        </w:rPr>
        <w:t xml:space="preserve">[PLACEHOLDER: Automated NPS trigger logic — after 2nd session, every 5 sessions thereafter, at engagement close. Survey delivery, response capture, linking to record.]</w:t>
      </w:r>
    </w:p>
    <w:p>
      <w:r>
        <w:t xml:space="preserve"/>
      </w:r>
    </w:p>
    <w:p>
      <w:pPr>
        <w:pStyle w:val="Heading2"/>
      </w:pPr>
      <w:r>
        <w:t xml:space="preserve">4.5 Inactivity Monitoring</w:t>
      </w:r>
    </w:p>
    <w:p>
      <w:pPr>
        <w:spacing w:after="120"/>
      </w:pPr>
      <w:r>
        <w:rPr>
          <w:i/>
          <w:iCs/>
          <w:color w:val="888888"/>
        </w:rPr>
        <w:t xml:space="preserve">[PLACEHOLDER: How inactivity is tracked for client engagements — last contact date, threshold, alert workflow, follow-up actions.]</w:t>
      </w:r>
    </w:p>
    <w:p>
      <w:r>
        <w:t xml:space="preserve"/>
      </w:r>
    </w:p>
    <w:p>
      <w:pPr>
        <w:pStyle w:val="Heading2"/>
      </w:pPr>
      <w:r>
        <w:t xml:space="preserve">4.6 Engagement Close</w:t>
      </w:r>
    </w:p>
    <w:p>
      <w:pPr>
        <w:spacing w:after="120"/>
      </w:pPr>
      <w:r>
        <w:rPr>
          <w:i/>
          <w:iCs/>
          <w:color w:val="888888"/>
        </w:rPr>
        <w:t xml:space="preserve">[PLACEHOLDER: Process for closing a client engagement — outcome recording, milestone capture, final NPS trigger, record status update.]</w:t>
      </w:r>
    </w:p>
    <w:p>
      <w:r>
        <w:t xml:space="preserve"/>
      </w:r>
    </w:p>
    <w:p>
      <w:pPr>
        <w:pStyle w:val="Heading2"/>
      </w:pPr>
      <w:r>
        <w:t xml:space="preserve">4.7 Client Offboarding / Record Retention</w:t>
      </w:r>
    </w:p>
    <w:p>
      <w:pPr>
        <w:spacing w:after="120"/>
      </w:pPr>
      <w:r>
        <w:rPr>
          <w:i/>
          <w:iCs/>
          <w:color w:val="888888"/>
        </w:rPr>
        <w:t xml:space="preserve">[PLACEHOLDER: What happens to client records after engagement close — retention schedule, data archival, access restrictions.]</w:t>
      </w:r>
    </w:p>
    <w:p>
      <w:r>
        <w:t xml:space="preserve"/>
      </w:r>
    </w:p>
    <w:p>
      <w:pPr>
        <w:pStyle w:val="Heading1"/>
      </w:pPr>
      <w:r>
        <w:t xml:space="preserve">5. Security</w:t>
      </w:r>
    </w:p>
    <w:p>
      <w:pPr>
        <w:pStyle w:val="Heading2"/>
      </w:pPr>
      <w:r>
        <w:t xml:space="preserve">5.1 Role-Based Access Control</w:t>
      </w:r>
    </w:p>
    <w:p>
      <w:pPr>
        <w:spacing w:after="120"/>
      </w:pPr>
      <w:r>
        <w:rPr>
          <w:i/>
          <w:iCs/>
          <w:color w:val="888888"/>
        </w:rPr>
        <w:t xml:space="preserve">[PLACEHOLDER: Define what each role (Admin, Primary Mentor, Co-Mentor, SME, Board Member) can see and do within client records. Clients themselves have no CRM access — email only.]</w:t>
      </w:r>
    </w:p>
    <w:p>
      <w:r>
        <w:t xml:space="preserve"/>
      </w:r>
    </w:p>
    <w:p>
      <w:pPr>
        <w:pStyle w:val="Heading2"/>
      </w:pPr>
      <w:r>
        <w:t xml:space="preserve">5.2 Field-Level Security</w:t>
      </w:r>
    </w:p>
    <w:p>
      <w:pPr>
        <w:spacing w:after="120"/>
      </w:pPr>
      <w:r>
        <w:rPr>
          <w:i/>
          <w:iCs/>
          <w:color w:val="888888"/>
        </w:rPr>
        <w:t xml:space="preserve">[PLACEHOLDER: Identify fields requiring additional access restrictions — e.g. sensitive business disclosures, personal circumstances, financial information shared in confidence.]</w:t>
      </w:r>
    </w:p>
    <w:p>
      <w:r>
        <w:t xml:space="preserve"/>
      </w:r>
    </w:p>
    <w:p>
      <w:pPr>
        <w:pStyle w:val="Heading2"/>
      </w:pPr>
      <w:r>
        <w:t xml:space="preserve">5.3 Data Visibility Rules</w:t>
      </w:r>
    </w:p>
    <w:p>
      <w:pPr>
        <w:spacing w:after="120"/>
      </w:pPr>
      <w:r>
        <w:rPr>
          <w:i/>
          <w:iCs/>
          <w:color w:val="888888"/>
        </w:rPr>
        <w:t xml:space="preserve">[PLACEHOLDER: Mentor can only see own assigned clients. Co-mentor and SME scoped to assigned engagement only. Admin full access. Board read-only aggregate reporting — no individual client records.]</w:t>
      </w:r>
    </w:p>
    <w:p>
      <w:r>
        <w:t xml:space="preserve"/>
      </w:r>
    </w:p>
    <w:p>
      <w:pPr>
        <w:pStyle w:val="Heading1"/>
      </w:pPr>
      <w:r>
        <w:t xml:space="preserve">6. 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6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Version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0.2</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Status</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In Progress — Data Model Defined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Last Updated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March 15, 2026</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Next Review</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After review of Relationships, Workflows, and Security sections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Related Documents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CBM-PRD-CRM.docx, CBM-PRD-CRM-Mentor.docx</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4" w:space="4"/>
      </w:pBdr>
      <w:tabs>
        <w:tab w:val="right" w:pos="9360"/>
      </w:tabs>
    </w:pPr>
    <w:r>
      <w:rPr>
        <w:rFonts w:ascii="Arial" w:cs="Arial" w:eastAsia="Arial" w:hAnsi="Arial"/>
        <w:color w:val="595959"/>
        <w:sz w:val="16"/>
        <w:szCs w:val="16"/>
      </w:rPr>
      <w:t xml:space="preserve">CONFIDENTIAL  —  Internal Use Only</w:t>
    </w:r>
    <w:r>
      <w:rPr>
        <w:rFonts w:ascii="Arial" w:cs="Arial" w:eastAsia="Arial" w:hAnsi="Arial"/>
        <w:color w:val="595959"/>
        <w:sz w:val="16"/>
        <w:szCs w:val="16"/>
      </w:rPr>
      <w:t xml:space="preserve">	Page </w:t>
    </w:r>
    <w:r>
      <w:rPr>
        <w:rFonts w:ascii="Arial" w:cs="Arial" w:eastAsia="Arial" w:hAnsi="Arial"/>
        <w:color w:val="595959"/>
        <w:sz w:val="16"/>
        <w:szCs w:val="16"/>
      </w:rP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4" w:space="4"/>
      </w:pBdr>
    </w:pPr>
    <w:r>
      <w:rPr>
        <w:rFonts w:ascii="Arial" w:cs="Arial" w:eastAsia="Arial" w:hAnsi="Arial"/>
        <w:b/>
        <w:bCs/>
        <w:color w:val="1F4E79"/>
        <w:sz w:val="18"/>
        <w:szCs w:val="18"/>
      </w:rPr>
      <w:t xml:space="preserve">Cleveland Business Mentors  |  </w:t>
    </w:r>
    <w:r>
      <w:rPr>
        <w:rFonts w:ascii="Arial" w:cs="Arial" w:eastAsia="Arial" w:hAnsi="Arial"/>
        <w:color w:val="595959"/>
        <w:sz w:val="18"/>
        <w:szCs w:val="18"/>
      </w:rPr>
      <w:t xml:space="preserve">CRM Design: Client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4E79"/>
      <w:sz w:val="36"/>
      <w:szCs w:val="36"/>
    </w:rPr>
  </w:style>
  <w:style w:type="paragraph" w:styleId="Heading2">
    <w:name w:val="Heading 2"/>
    <w:basedOn w:val="Normal"/>
    <w:next w:val="Normal"/>
    <w:qFormat/>
    <w:pPr>
      <w:spacing w:after="120" w:before="300"/>
      <w:outlineLvl w:val="1"/>
    </w:pPr>
    <w:rPr>
      <w:rFonts w:ascii="Arial" w:cs="Arial" w:eastAsia="Arial" w:hAnsi="Arial"/>
      <w:b/>
      <w:bCs/>
      <w:color w:val="1F4E79"/>
      <w:sz w:val="28"/>
      <w:szCs w:val="28"/>
    </w:rPr>
  </w:style>
  <w:style w:type="paragraph" w:styleId="Heading3">
    <w:name w:val="Heading 3"/>
    <w:basedOn w:val="Normal"/>
    <w:next w:val="Normal"/>
    <w:qFormat/>
    <w:pPr>
      <w:spacing w:after="80" w:before="24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2026-03-15T15:54:57.414Z</dcterms:created>
  <dcterms:modified xsi:type="dcterms:W3CDTF">2026-03-15T15:54:57.414Z</dcterms:modified>
</cp:coreProperties>
</file>

<file path=docProps/custom.xml><?xml version="1.0" encoding="utf-8"?>
<Properties xmlns="http://schemas.openxmlformats.org/officeDocument/2006/custom-properties" xmlns:vt="http://schemas.openxmlformats.org/officeDocument/2006/docPropsVTypes"/>
</file>