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Online Learning Platform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0.1  |  Draft — In Development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CBM's mission includes delivering practical business education through workshops, clinics, and structured learning pathways. An online learning platform extends this capability beyond in-person sessions, enabling clients to access educational content at their own pace and on their own schedule.</w:t>
      </w:r>
    </w:p>
    <w:p>
      <w:r>
        <w:t xml:space="preserve"/>
      </w:r>
    </w:p>
    <w:p>
      <w:pPr>
        <w:pStyle w:val="Heading1"/>
      </w:pPr>
      <w:r>
        <w:t xml:space="preserve">2. Strategic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Learning platform complements (does not replace) live mentoring and 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Content should focus on practical, immediately usable business and nonprofit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Platform must be accessible to clients with varying levels of technical comfort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Senior-friendly UI principle applies to both clients and volunteer instructors who will create/manage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FOSS-first — strong preference for open-source platforms that can be self-hosted on AWS</w:t>
      </w:r>
    </w:p>
    <w:p>
      <w:r>
        <w:t xml:space="preserv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Must-Have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Course/module creation and management by volunteer instructors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Self-paced content delivery — video, documents, quizzes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enrollment and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Certificate or completion acknowledgment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Simple, clean learner interface — usable by non-technical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dashboard for content and enrollment management</w:t>
      </w:r>
    </w:p>
    <w:p>
      <w:r>
        <w:t xml:space="preserve"/>
      </w:r>
    </w:p>
    <w:p>
      <w:pPr>
        <w:pStyle w:val="Heading2"/>
      </w:pPr>
      <w:r>
        <w:t xml:space="preserve">3.2 Strong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FOSS / self-hostable on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Integration with CRM for enrollment records and milestone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Structured learning pathways (idea → launch → growth progressions)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Mobile-responsive learner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Discussion or Q&amp;A capability per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recording hosting capability</w:t>
      </w:r>
    </w:p>
    <w:p>
      <w:r>
        <w:t xml:space="preserve"/>
      </w:r>
    </w:p>
    <w:p>
      <w:pPr>
        <w:pStyle w:val="Heading2"/>
      </w:pPr>
      <w:r>
        <w:t xml:space="preserve">3.3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Must not require per-learner fees that scale prohibitively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Content creation must be manageable by volunteer instructors without technical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Must be operable by a single tech admin</w:t>
      </w:r>
    </w:p>
    <w:p>
      <w:r>
        <w:t xml:space="preserve"/>
      </w:r>
    </w:p>
    <w:p>
      <w:pPr>
        <w:pStyle w:val="Heading1"/>
      </w:pPr>
      <w:r>
        <w:t xml:space="preserve">4. Candidate Platforms</w:t>
      </w:r>
    </w:p>
    <w:p>
      <w:pPr>
        <w:spacing w:after="120"/>
      </w:pPr>
      <w:r>
        <w:t xml:space="preserve">The following platforms are under evaluation. This section will be completed during the dedicated Learning Platform section conversation.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self-hostable, industry standard for nonprofits — complex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edX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self-hostable, very powerful — high complexity and resource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LMS (Free)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Freemium, not FOSS — excellent UI, widely known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Chamilo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self-hostable, simpler than Moodle — smaller community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self-hostable, strong European nonprofit use — less US adoption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+ LearnDash/Tutor LMS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 base with LMS plugin — familiar ecosystem if WordPress adopted elsewhere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Others TBD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candidates to be identified in section conversation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Content Strategy</w:t>
      </w:r>
    </w:p>
    <w:p>
      <w:pPr>
        <w:pStyle w:val="Heading2"/>
      </w:pPr>
      <w:r>
        <w:t xml:space="preserve">5.1 Initial Content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Business formation and legal structure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Nonprofit formation and 501(c)(3)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Business planning and financial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Marketing fundamentals for small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Nonprofit fundraising and grant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Financial management and bookkeeping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Northeast Ohio funding and resource ecosystem guide</w:t>
      </w:r>
    </w:p>
    <w:p>
      <w:r>
        <w:t xml:space="preserve"/>
      </w:r>
    </w:p>
    <w:p>
      <w:pPr>
        <w:pStyle w:val="Heading2"/>
      </w:pPr>
      <w:r>
        <w:t xml:space="preserve">5.2 Learning Pathways</w:t>
      </w:r>
    </w:p>
    <w:p>
      <w:pPr>
        <w:spacing w:after="120"/>
      </w:pPr>
      <w:r>
        <w:t xml:space="preserve">Content should be organized into structured pathways aligned with client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Idea Stage — exploring a business or nonprofit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Launch Stage — forming and launching the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Growth Stage — sustaining and scaling operations</w:t>
      </w:r>
    </w:p>
    <w:p>
      <w:r>
        <w:t xml:space="preserve"/>
      </w:r>
    </w:p>
    <w:p>
      <w:pPr>
        <w:pStyle w:val="Heading1"/>
      </w:pPr>
      <w:r>
        <w:t xml:space="preserve">6. Decision</w:t>
      </w:r>
    </w:p>
    <w:p>
      <w:pPr>
        <w:spacing w:after="120"/>
      </w:pPr>
      <w:r>
        <w:rPr>
          <w:i/>
          <w:iCs/>
          <w:color w:val="888888"/>
        </w:rPr>
        <w:t xml:space="preserve">[PLACEHOLDER: Learning platform selection — to be completed in dedicated Learning Platform section conversation]</w:t>
      </w:r>
    </w:p>
    <w:p>
      <w:r>
        <w:t xml:space="preserve"/>
      </w:r>
    </w:p>
    <w:p>
      <w:pPr>
        <w:pStyle w:val="Heading1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Should the learning platform be integrated with the CRM or operate independently?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Will volunteer mentors also use the platform for their own training and onboarding?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is the video hosting strategy — platform-native, YouTube (unlisted), or Vimeo?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Who owns content creation — is there a curriculum committee or individual volunteer instructors?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completion/certification recognition will CBM offer?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Learning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2026-03-05T16:53:50.148Z</dcterms:created>
  <dcterms:modified xsi:type="dcterms:W3CDTF">2026-03-05T16:53:50.148Z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