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Section PRD: Security &amp; Data Privacy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0.1  |  Draft — In Development  |  2025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CBM's mission explicitly commits to confidential mentoring. Client information — including business plans, financial situations, organizational challenges, and personal circumstances — is shared in trust. Technology choices and operational practices must rigorously protect that trust.</w:t>
      </w:r>
    </w:p>
    <w:p>
      <w:pPr>
        <w:spacing w:after="120"/>
      </w:pPr>
      <w:r>
        <w:t xml:space="preserve">This document establishes the security and data privacy framework for CBM's technology stack.</w:t>
      </w:r>
    </w:p>
    <w:p>
      <w:r>
        <w:t xml:space="preserve"/>
      </w:r>
    </w:p>
    <w:p>
      <w:pPr>
        <w:pStyle w:val="Heading1"/>
      </w:pPr>
      <w:r>
        <w:t xml:space="preserve">2. Guiding Privacy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Confidentiality by Default — client data is confidential unless disclosure is legally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Necessary Access — mentors can only see data relevant to their own client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Minimization — collect only the data needed to deliver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Limits — define and enforce data retention periods. Delete what is no longer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Transparency — clients understand what data is collected and how it is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Preparedness — have a defined process for responding to data breaches or unauthorized access.</w:t>
      </w:r>
    </w:p>
    <w:p>
      <w:r>
        <w:t xml:space="preserve"/>
      </w:r>
    </w:p>
    <w:p>
      <w:pPr>
        <w:pStyle w:val="Heading1"/>
      </w:pPr>
      <w:r>
        <w:t xml:space="preserve">3.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/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Confidential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business plans, financials, personal circumstances shared in mentoring sessions. CRM access only. Mentor access scoped to own clients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contact information, mentoring session notes, intake forms. CRM access, admin and assigned mentor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Volunteer/mentor profiles, operational data, workshop attendance. CRM access, admin and relevant coordinators.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content, event listings, resource guides, published impact reports. No access controls required.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Access Control Requirements</w:t>
      </w:r>
    </w:p>
    <w:p>
      <w:pPr>
        <w:pStyle w:val="Heading2"/>
      </w:pPr>
      <w:r>
        <w:t xml:space="preserve">4.1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systems and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Director / Board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CRM reporting; no direct client record access unless assigned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own assigned client records only; cannot see other mentors'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own profile, session history, and learning platform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Facilitator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event registration and attendance for their own events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Authentication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systems require unique individual accounts — no shared logins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Strong password requirements enforced on all platforms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Multi-factor authentication (MFA) required for admin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MFA strongly recommended for all mentor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Inactive accounts deprovisioned within 30 days of volunteer departure</w:t>
      </w:r>
    </w:p>
    <w:p>
      <w:r>
        <w:t xml:space="preserve"/>
      </w:r>
    </w:p>
    <w:p>
      <w:pPr>
        <w:pStyle w:val="Heading1"/>
      </w:pPr>
      <w:r>
        <w:t xml:space="preserve">5. AWS Security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IAM — least privilege principle. No root account used for day-to-day operations.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MFA enabled on root account and all IAM admin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S3 buckets — public access blocked except for website bucket (explicitly public)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CloudTrail enabled for audit logging of all AWS API calls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AWS billing alerts configured to detect unexpected usage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Regular review of IAM permissions — at minimum annually</w:t>
      </w:r>
    </w:p>
    <w:p>
      <w:r>
        <w:t xml:space="preserve"/>
      </w:r>
    </w:p>
    <w:p>
      <w:pPr>
        <w:pStyle w:val="Heading1"/>
      </w:pPr>
      <w:r>
        <w:t xml:space="preserve">6. Data Handling Policies</w:t>
      </w:r>
    </w:p>
    <w:p>
      <w:pPr>
        <w:pStyle w:val="Heading2"/>
      </w:pPr>
      <w:r>
        <w:t xml:space="preserve">6.1 Client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Client intake forms collect minimum necessary information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Mentoring session notes stored in CRM, accessible only to assigned mentor and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Client data retained for 3 years post-last-interaction (subject to board policy review)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Clients may request deletion of their records at any time</w:t>
      </w:r>
    </w:p>
    <w:p>
      <w:r>
        <w:t xml:space="preserve"/>
      </w:r>
    </w:p>
    <w:p>
      <w:pPr>
        <w:pStyle w:val="Heading2"/>
      </w:pPr>
      <w:r>
        <w:t xml:space="preserve">6.2 Volunteer/Mentor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Mentor profiles include professional background and expertise areas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Dues payment records maintained for financial accountability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Mentor data retained for 2 years post-departure</w:t>
      </w:r>
    </w:p>
    <w:p>
      <w:r>
        <w:t xml:space="preserve"/>
      </w:r>
    </w:p>
    <w:p>
      <w:pPr>
        <w:pStyle w:val="Heading2"/>
      </w:pPr>
      <w:r>
        <w:t xml:space="preserve">6.3 Donor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Donor records maintained in accordance with nonprofit best practices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Payment processing via PCI-compliant third-party processor — CBM does not store payment card data</w:t>
      </w:r>
    </w:p>
    <w:p>
      <w:r>
        <w:t xml:space="preserve"/>
      </w:r>
    </w:p>
    <w:p>
      <w:pPr>
        <w:pStyle w:val="Heading1"/>
      </w:pPr>
      <w:r>
        <w:t xml:space="preserve">7. Incident Response</w:t>
      </w:r>
    </w:p>
    <w:p>
      <w:pPr>
        <w:spacing w:after="120"/>
      </w:pPr>
      <w:r>
        <w:t xml:space="preserve">In the event of a suspected data breach or unauthorized access: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Immediately revoke access credentials for affected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scope — what data may have been accessed or exposed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board leadership within 24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affected clients or volunteers as appropriate and as required by law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the incident and remediation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and strengthen controls to prevent recurrence</w:t>
      </w:r>
    </w:p>
    <w:p>
      <w:r>
        <w:t xml:space="preserve"/>
      </w:r>
    </w:p>
    <w:p>
      <w:pPr>
        <w:pStyle w:val="Heading1"/>
      </w:pPr>
      <w:r>
        <w:t xml:space="preserve">8. Compliance Considerations</w:t>
      </w:r>
    </w:p>
    <w:p>
      <w:pPr>
        <w:spacing w:after="120"/>
      </w:pPr>
      <w:r>
        <w:t xml:space="preserve">CBM operates in Ohio and serves clients in Northeast Ohio. Key compliance considerations include: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Ohio data breach notification law — requires notification to affected individuals in the event of a breach of personal information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IRS requirements — as a 501(c)(3), financial records must be maintained appropriately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Donor privacy — honor donor anonymity requests in all public reporting</w:t>
      </w:r>
    </w:p>
    <w:p>
      <w:pPr>
        <w:spacing w:after="120"/>
      </w:pPr>
      <w:r>
        <w:rPr>
          <w:i/>
          <w:iCs/>
          <w:color w:val="595959"/>
        </w:rPr>
        <w:t xml:space="preserve">Note: CBM should consult with a qualified attorney to confirm applicable legal obligations as the organization formalizes.</w:t>
      </w:r>
    </w:p>
    <w:p>
      <w:r>
        <w:t xml:space="preserve"/>
      </w:r>
    </w:p>
    <w:p>
      <w:pPr>
        <w:pStyle w:val="Heading1"/>
      </w:pPr>
      <w:r>
        <w:t xml:space="preserve">9.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Will CBM publish a formal Privacy Policy on the website? (Recommended — yes)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What data retention periods will the board formally adopt?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Will mentor conflict-of-interest disclosures be stored in the CRM?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What is the backup and recovery strategy for CRM data?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Will CBM pursue any formal security framework (e.g., basic nonprofit cybersecurity checklist)?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Section PRD: Security &amp; Data Privacy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2026-03-05T16:53:50.241Z</dcterms:created>
  <dcterms:modified xsi:type="dcterms:W3CDTF">2026-03-05T16:53:50.241Z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