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04-08-26 18:13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v1.0. When a Contact is created via any CR-MARKETING pathway (web inquiry form, list import, single-record creation) with a website value, the system normalizes the domain (lowercase, protocol stripped, leading www stripped) and looks for an existing Account with a matching normalized website. Website match takes precedence over exact name match in the Account precedence ladder because the website is a more reliable identifier of where someone actually works than a free-text company name string.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Geographic Service Area field format: free text vs. controlled list of Northeast Ohio geographies has not been decided. Carried forward from CR-ISS-002. Superseded in scope by CR-MARKETING-ISS-001 (geographic targeting model deferred to stakeholder input). The two issues will be resolved jointly when stakeholder input on partner count, sub-county prevalence, master list maintenance, and required precision is available.</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primary signal for prospect-Contact-to-Account matching under the Universal Contact-Creation Rules. Website match (normalized: lowercase, protocol stripped, leading www stripped) takes precedence over exact name match in the Account precedence ladder. The native field is reused; no new website-related field is added. Source: CR-MARKETING Sub-Domain Overview v1.0.</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