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Arial" w:cs="Arial"/>
          <w:b/>
          <w:bCs/>
          <w:i w:val="false"/>
          <w:iCs w:val="false"/>
          <w:color w:val="1F3864"/>
          <w:sz w:val="36"/>
          <w:szCs w:val="36"/>
        </w:rPr>
        <w:t>Cleveland Business Mentors</w:t>
      </w:r>
    </w:p>
    <w:p>
      <w:pPr>
        <w:pStyle w:val="Normal"/>
        <w:spacing w:before="0" w:after="200"/>
        <w:jc w:val="center"/>
        <w:rPr/>
      </w:pPr>
      <w:r>
        <w:rPr>
          <w:rFonts w:eastAsia="Arial" w:cs="Arial"/>
          <w:b/>
          <w:bCs/>
          <w:i w:val="false"/>
          <w:iCs w:val="false"/>
          <w:color w:val="1F3864"/>
          <w:sz w:val="28"/>
          <w:szCs w:val="28"/>
        </w:rPr>
        <w:t>Engagement Closure (MN-CLOSE)</w:t>
      </w:r>
    </w:p>
    <w:p>
      <w:pPr>
        <w:pStyle w:val="Normal"/>
        <w:spacing w:before="0" w:after="400"/>
        <w:jc w:val="center"/>
        <w:rPr/>
      </w:pPr>
      <w:r>
        <w:rPr>
          <w:rFonts w:eastAsia="Arial" w:cs="Arial"/>
          <w:b w:val="false"/>
          <w:bCs w:val="false"/>
          <w:i w:val="false"/>
          <w:iCs w:val="false"/>
          <w:sz w:val="22"/>
          <w:szCs w:val="22"/>
        </w:rPr>
        <w:t>Process Document</w:t>
      </w:r>
    </w:p>
    <w:tbl>
      <w:tblPr>
        <w:tblW w:w="9360" w:type="dxa"/>
        <w:jc w:val="left"/>
        <w:tblInd w:w="0" w:type="dxa"/>
        <w:tblLayout w:type="fixed"/>
        <w:tblCellMar>
          <w:top w:w="60" w:type="dxa"/>
          <w:left w:w="100" w:type="dxa"/>
          <w:bottom w:w="60" w:type="dxa"/>
          <w:right w:w="100" w:type="dxa"/>
        </w:tblCellMar>
      </w:tblPr>
      <w:tblGrid>
        <w:gridCol w:w="2399"/>
        <w:gridCol w:w="6960"/>
      </w:tblGrid>
      <w:tr>
        <w:trPr/>
        <w:tc>
          <w:tcPr>
            <w:tcW w:w="2399" w:type="dxa"/>
            <w:tcBorders>
              <w:top w:val="single" w:sz="2" w:space="0" w:color="AAAAAA"/>
              <w:left w:val="single" w:sz="2" w:space="0" w:color="AAAAAA"/>
              <w:bottom w:val="single" w:sz="2" w:space="0" w:color="AAAAAA"/>
              <w:right w:val="single" w:sz="2" w:space="0" w:color="AAAAAA"/>
            </w:tcBorders>
            <w:shd w:fill="E8E8E8" w:val="clear"/>
          </w:tcPr>
          <w:p>
            <w:pPr>
              <w:pStyle w:val="Normal"/>
              <w:rPr/>
            </w:pPr>
            <w:r>
              <w:rPr>
                <w:rFonts w:eastAsia="Arial" w:cs="Arial"/>
                <w:b/>
                <w:bCs/>
                <w:i w:val="false"/>
                <w:iCs w:val="false"/>
                <w:sz w:val="20"/>
                <w:szCs w:val="20"/>
              </w:rPr>
              <w:t>Domain</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Mentoring (MN)</w:t>
            </w:r>
          </w:p>
        </w:tc>
      </w:tr>
      <w:tr>
        <w:trPr/>
        <w:tc>
          <w:tcPr>
            <w:tcW w:w="2399" w:type="dxa"/>
            <w:tcBorders>
              <w:top w:val="single" w:sz="2" w:space="0" w:color="AAAAAA"/>
              <w:left w:val="single" w:sz="2" w:space="0" w:color="AAAAAA"/>
              <w:bottom w:val="single" w:sz="2" w:space="0" w:color="AAAAAA"/>
              <w:right w:val="single" w:sz="2" w:space="0" w:color="AAAAAA"/>
            </w:tcBorders>
            <w:shd w:fill="E8E8E8" w:val="clear"/>
          </w:tcPr>
          <w:p>
            <w:pPr>
              <w:pStyle w:val="Normal"/>
              <w:rPr/>
            </w:pPr>
            <w:r>
              <w:rPr>
                <w:rFonts w:eastAsia="Arial" w:cs="Arial"/>
                <w:b/>
                <w:bCs/>
                <w:i w:val="false"/>
                <w:iCs w:val="false"/>
                <w:sz w:val="20"/>
                <w:szCs w:val="20"/>
              </w:rPr>
              <w:t>Process Code</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MN-CLOSE</w:t>
            </w:r>
          </w:p>
        </w:tc>
      </w:tr>
      <w:tr>
        <w:trPr/>
        <w:tc>
          <w:tcPr>
            <w:tcW w:w="2399" w:type="dxa"/>
            <w:tcBorders>
              <w:top w:val="single" w:sz="2" w:space="0" w:color="AAAAAA"/>
              <w:left w:val="single" w:sz="2" w:space="0" w:color="AAAAAA"/>
              <w:bottom w:val="single" w:sz="2" w:space="0" w:color="AAAAAA"/>
              <w:right w:val="single" w:sz="2" w:space="0" w:color="AAAAAA"/>
            </w:tcBorders>
            <w:shd w:fill="E8E8E8" w:val="clear"/>
          </w:tcPr>
          <w:p>
            <w:pPr>
              <w:pStyle w:val="Normal"/>
              <w:rPr/>
            </w:pPr>
            <w:r>
              <w:rPr>
                <w:rFonts w:eastAsia="Arial" w:cs="Arial"/>
                <w:b/>
                <w:bCs/>
                <w:i w:val="false"/>
                <w:iCs w:val="false"/>
                <w:sz w:val="20"/>
                <w:szCs w:val="20"/>
              </w:rPr>
              <w:t>Version</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1.1</w:t>
            </w:r>
          </w:p>
        </w:tc>
      </w:tr>
      <w:tr>
        <w:trPr/>
        <w:tc>
          <w:tcPr>
            <w:tcW w:w="2399" w:type="dxa"/>
            <w:tcBorders>
              <w:top w:val="single" w:sz="2" w:space="0" w:color="AAAAAA"/>
              <w:left w:val="single" w:sz="2" w:space="0" w:color="AAAAAA"/>
              <w:bottom w:val="single" w:sz="2" w:space="0" w:color="AAAAAA"/>
              <w:right w:val="single" w:sz="2" w:space="0" w:color="AAAAAA"/>
            </w:tcBorders>
            <w:shd w:fill="E8E8E8" w:val="clear"/>
          </w:tcPr>
          <w:p>
            <w:pPr>
              <w:pStyle w:val="Normal"/>
              <w:rPr/>
            </w:pPr>
            <w:r>
              <w:rPr>
                <w:rFonts w:eastAsia="Arial" w:cs="Arial"/>
                <w:b/>
                <w:bCs/>
                <w:i w:val="false"/>
                <w:iCs w:val="false"/>
                <w:sz w:val="20"/>
                <w:szCs w:val="20"/>
              </w:rPr>
              <w:t>Status</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Draft</w:t>
            </w:r>
          </w:p>
        </w:tc>
      </w:tr>
      <w:tr>
        <w:trPr/>
        <w:tc>
          <w:tcPr>
            <w:tcW w:w="2399" w:type="dxa"/>
            <w:tcBorders>
              <w:top w:val="single" w:sz="2" w:space="0" w:color="AAAAAA"/>
              <w:left w:val="single" w:sz="2" w:space="0" w:color="AAAAAA"/>
              <w:bottom w:val="single" w:sz="2" w:space="0" w:color="AAAAAA"/>
              <w:right w:val="single" w:sz="2" w:space="0" w:color="AAAAAA"/>
            </w:tcBorders>
            <w:shd w:fill="E8E8E8" w:val="clear"/>
          </w:tcPr>
          <w:p>
            <w:pPr>
              <w:pStyle w:val="Normal"/>
              <w:rPr/>
            </w:pPr>
            <w:r>
              <w:rPr>
                <w:rFonts w:eastAsia="Arial" w:cs="Arial"/>
                <w:b/>
                <w:bCs/>
                <w:i w:val="false"/>
                <w:iCs w:val="false"/>
                <w:sz w:val="20"/>
                <w:szCs w:val="20"/>
              </w:rPr>
              <w:t>Last Updated</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04-01-26 05:00</w:t>
            </w:r>
          </w:p>
        </w:tc>
      </w:tr>
      <w:tr>
        <w:trPr/>
        <w:tc>
          <w:tcPr>
            <w:tcW w:w="2399" w:type="dxa"/>
            <w:tcBorders>
              <w:top w:val="single" w:sz="2" w:space="0" w:color="AAAAAA"/>
              <w:left w:val="single" w:sz="2" w:space="0" w:color="AAAAAA"/>
              <w:bottom w:val="single" w:sz="2" w:space="0" w:color="AAAAAA"/>
              <w:right w:val="single" w:sz="2" w:space="0" w:color="AAAAAA"/>
            </w:tcBorders>
            <w:shd w:fill="E8E8E8" w:val="clear"/>
          </w:tcPr>
          <w:p>
            <w:pPr>
              <w:pStyle w:val="Normal"/>
              <w:rPr/>
            </w:pPr>
            <w:r>
              <w:rPr>
                <w:rFonts w:eastAsia="Arial" w:cs="Arial"/>
                <w:b/>
                <w:bCs/>
                <w:i w:val="false"/>
                <w:iCs w:val="false"/>
                <w:sz w:val="20"/>
                <w:szCs w:val="20"/>
              </w:rPr>
              <w:t>Source</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Process definition interview conducted 03-31-26</w:t>
            </w:r>
          </w:p>
        </w:tc>
      </w:tr>
      <w:tr>
        <w:trPr/>
        <w:tc>
          <w:tcPr>
            <w:tcW w:w="2399" w:type="dxa"/>
            <w:tcBorders>
              <w:top w:val="single" w:sz="2" w:space="0" w:color="AAAAAA"/>
              <w:left w:val="single" w:sz="2" w:space="0" w:color="AAAAAA"/>
              <w:bottom w:val="single" w:sz="2" w:space="0" w:color="AAAAAA"/>
              <w:right w:val="single" w:sz="2" w:space="0" w:color="AAAAAA"/>
            </w:tcBorders>
            <w:shd w:fill="E8E8E8" w:val="clear"/>
          </w:tcPr>
          <w:p>
            <w:pPr>
              <w:pStyle w:val="Normal"/>
              <w:rPr/>
            </w:pPr>
            <w:r>
              <w:rPr>
                <w:rFonts w:eastAsia="Arial" w:cs="Arial"/>
                <w:b/>
                <w:bCs/>
                <w:i w:val="false"/>
                <w:iCs w:val="false"/>
                <w:sz w:val="20"/>
                <w:szCs w:val="20"/>
              </w:rPr>
              <w:t>Interview Guide</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interview-process-definition.md v2.4</w:t>
            </w:r>
          </w:p>
        </w:tc>
      </w:tr>
    </w:tbl>
    <w:p>
      <w:pPr>
        <w:pStyle w:val="Normal"/>
        <w:rPr/>
      </w:pPr>
      <w:r>
        <w:rPr/>
      </w:r>
      <w:r>
        <w:br w:type="page"/>
      </w:r>
    </w:p>
    <w:p>
      <w:pPr>
        <w:pStyle w:val="Heading1"/>
        <w:spacing w:before="0" w:after="120"/>
        <w:rPr/>
      </w:pPr>
      <w:r>
        <w:rPr>
          <w:rFonts w:eastAsia="Arial" w:cs="Arial" w:ascii="Arial" w:hAnsi="Arial"/>
          <w:b/>
          <w:bCs/>
          <w:i w:val="false"/>
          <w:iCs w:val="false"/>
          <w:sz w:val="32"/>
          <w:szCs w:val="32"/>
        </w:rPr>
        <w:t>1. Process Purpose</w:t>
      </w:r>
    </w:p>
    <w:p>
      <w:pPr>
        <w:pStyle w:val="Normal"/>
        <w:spacing w:before="0" w:after="120"/>
        <w:rPr/>
      </w:pPr>
      <w:r>
        <w:rPr>
          <w:rFonts w:eastAsia="Arial" w:cs="Arial"/>
          <w:b w:val="false"/>
          <w:bCs w:val="false"/>
          <w:i w:val="false"/>
          <w:iCs w:val="false"/>
          <w:sz w:val="22"/>
          <w:szCs w:val="22"/>
        </w:rPr>
        <w:t>The Engagement Closure process handles the formal closure of mentoring engagements. Its primary purpose is to document the results and outcomes of the engagement to support analytics, performance analysis, and funder impact reporting.</w:t>
      </w:r>
    </w:p>
    <w:p>
      <w:pPr>
        <w:pStyle w:val="Normal"/>
        <w:spacing w:before="0" w:after="120"/>
        <w:rPr/>
      </w:pPr>
      <w:r>
        <w:rPr>
          <w:rFonts w:eastAsia="Arial" w:cs="Arial"/>
          <w:b w:val="false"/>
          <w:bCs w:val="false"/>
          <w:i w:val="false"/>
          <w:iCs w:val="false"/>
          <w:sz w:val="22"/>
          <w:szCs w:val="22"/>
        </w:rPr>
        <w:t>The process is complete when the Engagement status has transitioned to Completed, the Close Reason has been recorded, engagement outcome data has been reviewed (and optionally completed), a Closed Engagement Survey has been sent to the Primary Engagement Contact, and the mentor has sent a thank-you communication to the client.</w:t>
      </w:r>
    </w:p>
    <w:p>
      <w:pPr>
        <w:pStyle w:val="Heading1"/>
        <w:spacing w:before="360" w:after="120"/>
        <w:rPr/>
      </w:pPr>
      <w:r>
        <w:rPr>
          <w:rFonts w:eastAsia="Arial" w:cs="Arial" w:ascii="Arial" w:hAnsi="Arial"/>
          <w:b/>
          <w:bCs/>
          <w:i w:val="false"/>
          <w:iCs w:val="false"/>
          <w:sz w:val="32"/>
          <w:szCs w:val="32"/>
        </w:rPr>
        <w:t>2. Process Triggers</w:t>
      </w:r>
    </w:p>
    <w:p>
      <w:pPr>
        <w:pStyle w:val="Normal"/>
        <w:spacing w:before="0" w:after="40"/>
        <w:rPr/>
      </w:pPr>
      <w:r>
        <w:rPr>
          <w:rFonts w:eastAsia="Arial" w:cs="Arial"/>
          <w:b/>
          <w:bCs/>
          <w:i w:val="false"/>
          <w:iCs w:val="false"/>
          <w:sz w:val="22"/>
          <w:szCs w:val="22"/>
        </w:rPr>
        <w:t>Preconditions</w:t>
      </w:r>
    </w:p>
    <w:p>
      <w:pPr>
        <w:pStyle w:val="Normal"/>
        <w:spacing w:before="0" w:after="120"/>
        <w:rPr/>
      </w:pPr>
      <w:r>
        <w:rPr>
          <w:rFonts w:eastAsia="Arial" w:cs="Arial"/>
          <w:b w:val="false"/>
          <w:bCs w:val="false"/>
          <w:i w:val="false"/>
          <w:iCs w:val="false"/>
          <w:sz w:val="22"/>
          <w:szCs w:val="22"/>
        </w:rPr>
        <w:t>The Engagement must be at one of the following statuses: Active, On-Hold, Dormant, or Inactive. These are the only statuses eligible for closure through this process. Engagements at Submitted, Declined, Pending Acceptance, or Assigned status have never been active and therefore have no measurable outcomes to document. Engagements already at Abandoned or Completed status are already closed.</w:t>
      </w:r>
    </w:p>
    <w:p>
      <w:pPr>
        <w:pStyle w:val="Normal"/>
        <w:spacing w:before="0" w:after="40"/>
        <w:rPr/>
      </w:pPr>
      <w:r>
        <w:rPr>
          <w:rFonts w:eastAsia="Arial" w:cs="Arial"/>
          <w:b/>
          <w:bCs/>
          <w:i w:val="false"/>
          <w:iCs w:val="false"/>
          <w:sz w:val="22"/>
          <w:szCs w:val="22"/>
        </w:rPr>
        <w:t>Required Data</w:t>
      </w:r>
    </w:p>
    <w:p>
      <w:pPr>
        <w:pStyle w:val="Normal"/>
        <w:spacing w:before="0" w:after="120"/>
        <w:rPr/>
      </w:pPr>
      <w:r>
        <w:rPr>
          <w:rFonts w:eastAsia="Arial" w:cs="Arial"/>
          <w:b w:val="false"/>
          <w:bCs w:val="false"/>
          <w:i w:val="false"/>
          <w:iCs w:val="false"/>
          <w:sz w:val="22"/>
          <w:szCs w:val="22"/>
        </w:rPr>
        <w:t>The Engagement record must exist with one of the eligible statuses. No additional data is required to initiate closure, though the Close Reason field must be provided during the closure action.</w:t>
      </w:r>
    </w:p>
    <w:p>
      <w:pPr>
        <w:pStyle w:val="Normal"/>
        <w:spacing w:before="0" w:after="40"/>
        <w:rPr/>
      </w:pPr>
      <w:r>
        <w:rPr>
          <w:rFonts w:eastAsia="Arial" w:cs="Arial"/>
          <w:b/>
          <w:bCs/>
          <w:i w:val="false"/>
          <w:iCs w:val="false"/>
          <w:sz w:val="22"/>
          <w:szCs w:val="22"/>
        </w:rPr>
        <w:t>Initiation Mechanism</w:t>
      </w:r>
    </w:p>
    <w:p>
      <w:pPr>
        <w:pStyle w:val="Normal"/>
        <w:spacing w:before="0" w:after="120"/>
        <w:rPr/>
      </w:pPr>
      <w:r>
        <w:rPr>
          <w:rFonts w:eastAsia="Arial" w:cs="Arial"/>
          <w:b w:val="false"/>
          <w:bCs w:val="false"/>
          <w:i w:val="false"/>
          <w:iCs w:val="false"/>
          <w:sz w:val="22"/>
          <w:szCs w:val="22"/>
        </w:rPr>
        <w:t>Manual. The mentor or Client Administrator changes the Engagement status to Completed. The system requires a Close Reason to be selected before the status change is accepted.</w:t>
      </w:r>
    </w:p>
    <w:p>
      <w:pPr>
        <w:pStyle w:val="Normal"/>
        <w:spacing w:before="0" w:after="40"/>
        <w:rPr/>
      </w:pPr>
      <w:r>
        <w:rPr>
          <w:rFonts w:eastAsia="Arial" w:cs="Arial"/>
          <w:b/>
          <w:bCs/>
          <w:i w:val="false"/>
          <w:iCs w:val="false"/>
          <w:sz w:val="22"/>
          <w:szCs w:val="22"/>
        </w:rPr>
        <w:t>Initiating Persona</w:t>
      </w:r>
    </w:p>
    <w:p>
      <w:pPr>
        <w:pStyle w:val="Normal"/>
        <w:spacing w:before="0" w:after="120"/>
        <w:rPr/>
      </w:pPr>
      <w:r>
        <w:rPr>
          <w:rFonts w:eastAsia="Arial" w:cs="Arial"/>
          <w:b w:val="false"/>
          <w:bCs w:val="false"/>
          <w:i w:val="false"/>
          <w:iCs w:val="false"/>
          <w:sz w:val="22"/>
          <w:szCs w:val="22"/>
        </w:rPr>
        <w:t>Mentor (MST-PER-011) is the typical initiator. Client Administrator (MST-PER-003) may also initiate closure, including in cases of mentor incapacitation. No special approval is required.</w:t>
      </w:r>
    </w:p>
    <w:p>
      <w:pPr>
        <w:pStyle w:val="Heading1"/>
        <w:spacing w:before="360" w:after="120"/>
        <w:rPr/>
      </w:pPr>
      <w:r>
        <w:rPr>
          <w:rFonts w:eastAsia="Arial" w:cs="Arial" w:ascii="Arial" w:hAnsi="Arial"/>
          <w:b/>
          <w:bCs/>
          <w:i w:val="false"/>
          <w:iCs w:val="false"/>
          <w:sz w:val="32"/>
          <w:szCs w:val="32"/>
        </w:rPr>
        <w:t>3. Personas Involved</w:t>
      </w:r>
    </w:p>
    <w:p>
      <w:pPr>
        <w:pStyle w:val="Normal"/>
        <w:spacing w:before="0" w:after="40"/>
        <w:rPr/>
      </w:pPr>
      <w:r>
        <w:rPr>
          <w:rFonts w:eastAsia="Arial" w:cs="Arial"/>
          <w:b/>
          <w:bCs/>
          <w:i w:val="false"/>
          <w:iCs w:val="false"/>
          <w:sz w:val="22"/>
          <w:szCs w:val="22"/>
        </w:rPr>
        <w:t>Mentor (MST-PER-011)</w:t>
      </w:r>
    </w:p>
    <w:p>
      <w:pPr>
        <w:pStyle w:val="Normal"/>
        <w:spacing w:before="0" w:after="120"/>
        <w:rPr/>
      </w:pPr>
      <w:r>
        <w:rPr>
          <w:rFonts w:eastAsia="Arial" w:cs="Arial"/>
          <w:b w:val="false"/>
          <w:bCs w:val="false"/>
          <w:i w:val="false"/>
          <w:iCs w:val="false"/>
          <w:sz w:val="22"/>
          <w:szCs w:val="22"/>
        </w:rPr>
        <w:t>Primary actor. Initiates closure by changing the Engagement status to Completed, provides the Close Reason, reviews and completes engagement outcome data, and sends the thank-you communication to the client. The mentor selects the recipients and adds personal comments to the system-generated email template.</w:t>
      </w:r>
    </w:p>
    <w:p>
      <w:pPr>
        <w:pStyle w:val="Normal"/>
        <w:spacing w:before="0" w:after="40"/>
        <w:rPr/>
      </w:pPr>
      <w:r>
        <w:rPr>
          <w:rFonts w:eastAsia="Arial" w:cs="Arial"/>
          <w:b/>
          <w:bCs/>
          <w:i w:val="false"/>
          <w:iCs w:val="false"/>
          <w:sz w:val="22"/>
          <w:szCs w:val="22"/>
        </w:rPr>
        <w:t>Client Administrator (MST-PER-003)</w:t>
      </w:r>
    </w:p>
    <w:p>
      <w:pPr>
        <w:pStyle w:val="Normal"/>
        <w:spacing w:before="0" w:after="120"/>
        <w:rPr/>
      </w:pPr>
      <w:r>
        <w:rPr>
          <w:rFonts w:eastAsia="Arial" w:cs="Arial"/>
          <w:b w:val="false"/>
          <w:bCs w:val="false"/>
          <w:i w:val="false"/>
          <w:iCs w:val="false"/>
          <w:sz w:val="22"/>
          <w:szCs w:val="22"/>
        </w:rPr>
        <w:t>Alternate initiator. May close an engagement using the same workflow as the mentor, including in cases where the mentor is incapacitated or otherwise unable to close the engagement themselves. There is no difference in the closure workflow regardless of who initiates it.</w:t>
      </w:r>
    </w:p>
    <w:p>
      <w:pPr>
        <w:pStyle w:val="Normal"/>
        <w:spacing w:before="0" w:after="40"/>
        <w:rPr/>
      </w:pPr>
      <w:r>
        <w:rPr>
          <w:rFonts w:eastAsia="Arial" w:cs="Arial"/>
          <w:b/>
          <w:bCs/>
          <w:i w:val="false"/>
          <w:iCs w:val="false"/>
          <w:sz w:val="22"/>
          <w:szCs w:val="22"/>
        </w:rPr>
        <w:t>Client (MST-PER-013)</w:t>
      </w:r>
    </w:p>
    <w:p>
      <w:pPr>
        <w:pStyle w:val="Normal"/>
        <w:spacing w:before="0" w:after="120"/>
        <w:rPr/>
      </w:pPr>
      <w:r>
        <w:rPr>
          <w:rFonts w:eastAsia="Arial" w:cs="Arial"/>
          <w:b w:val="false"/>
          <w:bCs w:val="false"/>
          <w:i w:val="false"/>
          <w:iCs w:val="false"/>
          <w:sz w:val="22"/>
          <w:szCs w:val="22"/>
        </w:rPr>
        <w:t>Receives the Closed Engagement Survey automatically and receives the thank-you communication from the mentor. Does not actively participate in the closure workflow.</w:t>
      </w:r>
    </w:p>
    <w:p>
      <w:pPr>
        <w:pStyle w:val="Heading1"/>
        <w:spacing w:before="360" w:after="120"/>
        <w:rPr/>
      </w:pPr>
      <w:r>
        <w:rPr>
          <w:rFonts w:eastAsia="Arial" w:cs="Arial" w:ascii="Arial" w:hAnsi="Arial"/>
          <w:b/>
          <w:bCs/>
          <w:i w:val="false"/>
          <w:iCs w:val="false"/>
          <w:sz w:val="32"/>
          <w:szCs w:val="32"/>
        </w:rPr>
        <w:t>4. Process Workflow</w:t>
      </w:r>
    </w:p>
    <w:p>
      <w:pPr>
        <w:pStyle w:val="ListParagraph"/>
        <w:numPr>
          <w:ilvl w:val="0"/>
          <w:numId w:val="3"/>
        </w:numPr>
        <w:spacing w:before="0" w:after="80"/>
        <w:rPr/>
      </w:pPr>
      <w:r>
        <w:rPr>
          <w:rFonts w:eastAsia="Arial" w:cs="Arial"/>
          <w:b w:val="false"/>
          <w:bCs w:val="false"/>
          <w:i w:val="false"/>
          <w:iCs w:val="false"/>
          <w:sz w:val="22"/>
          <w:szCs w:val="22"/>
        </w:rPr>
        <w:t>The mentor (or Client Administrator) determines the engagement should be closed and changes the Engagement status to Completed. The system validates that the Engagement is at an eligible status (Active, On-Hold, Dormant, or Inactive) before allowing the transition.</w:t>
      </w:r>
    </w:p>
    <w:p>
      <w:pPr>
        <w:pStyle w:val="ListParagraph"/>
        <w:numPr>
          <w:ilvl w:val="0"/>
          <w:numId w:val="1"/>
        </w:numPr>
        <w:spacing w:before="0" w:after="80"/>
        <w:rPr/>
      </w:pPr>
      <w:r>
        <w:rPr>
          <w:rFonts w:eastAsia="Arial" w:cs="Arial"/>
          <w:b w:val="false"/>
          <w:bCs w:val="false"/>
          <w:i w:val="false"/>
          <w:iCs w:val="false"/>
          <w:sz w:val="22"/>
          <w:szCs w:val="22"/>
        </w:rPr>
        <w:t>The system requires the mentor to select a Close Reason before the status change is accepted. The available values are: Goals Achieved, Client Withdrew, Inactive / No Response, Other, and any additional values defined by organizational leadership.</w:t>
      </w:r>
    </w:p>
    <w:p>
      <w:pPr>
        <w:pStyle w:val="ListParagraph"/>
        <w:numPr>
          <w:ilvl w:val="0"/>
          <w:numId w:val="1"/>
        </w:numPr>
        <w:spacing w:before="0" w:after="80"/>
        <w:rPr/>
      </w:pPr>
      <w:r>
        <w:rPr>
          <w:rFonts w:eastAsia="Arial" w:cs="Arial"/>
          <w:b w:val="false"/>
          <w:bCs w:val="false"/>
          <w:i w:val="false"/>
          <w:iCs w:val="false"/>
          <w:sz w:val="22"/>
          <w:szCs w:val="22"/>
        </w:rPr>
        <w:t>The system automatically populates the Close Date with today’s date.</w:t>
      </w:r>
    </w:p>
    <w:p>
      <w:pPr>
        <w:pStyle w:val="ListParagraph"/>
        <w:numPr>
          <w:ilvl w:val="0"/>
          <w:numId w:val="1"/>
        </w:numPr>
        <w:spacing w:before="0" w:after="80"/>
        <w:rPr/>
      </w:pPr>
      <w:r>
        <w:rPr>
          <w:rFonts w:eastAsia="Arial" w:cs="Arial"/>
          <w:b w:val="false"/>
          <w:bCs w:val="false"/>
          <w:i w:val="false"/>
          <w:iCs w:val="false"/>
          <w:sz w:val="22"/>
          <w:szCs w:val="22"/>
        </w:rPr>
        <w:t>The system presents the engagement outcome fields for review and completion: New Business Started, New Location Opened, Significant Revenue Increase, Revenue Increase Percentage, Significant Employment Increase, and Employment Increase Percentage. Completion is encouraged but not enforced — the closure proceeds regardless of whether the outcome fields are populated.</w:t>
      </w:r>
    </w:p>
    <w:p>
      <w:pPr>
        <w:pStyle w:val="ListParagraph"/>
        <w:numPr>
          <w:ilvl w:val="0"/>
          <w:numId w:val="1"/>
        </w:numPr>
        <w:spacing w:before="0" w:after="80"/>
        <w:rPr/>
      </w:pPr>
      <w:r>
        <w:rPr>
          <w:rFonts w:eastAsia="Arial" w:cs="Arial"/>
          <w:b w:val="false"/>
          <w:bCs w:val="false"/>
          <w:i w:val="false"/>
          <w:iCs w:val="false"/>
          <w:sz w:val="22"/>
          <w:szCs w:val="22"/>
        </w:rPr>
        <w:t>The system automatically sends a Closed Engagement Survey to the Primary Engagement Contact to capture feedback on the completed engagement experience.</w:t>
      </w:r>
    </w:p>
    <w:p>
      <w:pPr>
        <w:pStyle w:val="ListParagraph"/>
        <w:numPr>
          <w:ilvl w:val="0"/>
          <w:numId w:val="1"/>
        </w:numPr>
        <w:spacing w:before="0" w:after="80"/>
        <w:rPr/>
      </w:pPr>
      <w:r>
        <w:rPr>
          <w:rFonts w:eastAsia="Arial" w:cs="Arial"/>
          <w:b w:val="false"/>
          <w:bCs w:val="false"/>
          <w:i w:val="false"/>
          <w:iCs w:val="false"/>
          <w:sz w:val="22"/>
          <w:szCs w:val="22"/>
        </w:rPr>
        <w:t>The system generates a thank-you email from a configurable template, defaulting the TO recipient to the Primary Engagement Contact with other Engagement Contacts (if any) as CC. The mentor adds personal comments, may modify recipients at their discretion, reviews the email, and sends it.</w:t>
      </w:r>
    </w:p>
    <w:p>
      <w:pPr>
        <w:pStyle w:val="Normal"/>
        <w:spacing w:before="0" w:after="120"/>
        <w:rPr/>
      </w:pPr>
      <w:r>
        <w:rPr/>
      </w:r>
    </w:p>
    <w:p>
      <w:pPr>
        <w:pStyle w:val="Normal"/>
        <w:spacing w:before="0" w:after="120"/>
        <w:rPr/>
      </w:pPr>
      <w:r>
        <w:rPr>
          <w:rFonts w:eastAsia="Arial" w:cs="Arial"/>
          <w:b w:val="false"/>
          <w:bCs w:val="false"/>
          <w:i/>
          <w:iCs/>
          <w:sz w:val="22"/>
          <w:szCs w:val="22"/>
        </w:rPr>
        <w:t>Remaining Scheduled sessions are not automatically canceled at closure. The mentor may manually update any remaining Session records at their discretion.</w:t>
      </w:r>
    </w:p>
    <w:p>
      <w:pPr>
        <w:pStyle w:val="Normal"/>
        <w:spacing w:before="200" w:after="60"/>
        <w:rPr/>
      </w:pPr>
      <w:r>
        <w:rPr>
          <w:rFonts w:eastAsia="Arial" w:cs="Arial"/>
          <w:b/>
          <w:bCs/>
          <w:i w:val="false"/>
          <w:iCs w:val="false"/>
          <w:sz w:val="22"/>
          <w:szCs w:val="22"/>
        </w:rPr>
        <w:t>Process Workflow Diagram</w:t>
      </w:r>
    </w:p>
    <w:tbl>
      <w:tblPr>
        <w:tblW w:w="9360" w:type="dxa"/>
        <w:jc w:val="left"/>
        <w:tblInd w:w="0" w:type="dxa"/>
        <w:tblLayout w:type="fixed"/>
        <w:tblCellMar>
          <w:top w:w="200" w:type="dxa"/>
          <w:left w:w="200" w:type="dxa"/>
          <w:bottom w:w="200" w:type="dxa"/>
          <w:right w:w="200" w:type="dxa"/>
        </w:tblCellMar>
      </w:tblPr>
      <w:tblGrid>
        <w:gridCol w:w="9360"/>
      </w:tblGrid>
      <w:tr>
        <w:trPr/>
        <w:tc>
          <w:tcPr>
            <w:tcW w:w="9360" w:type="dxa"/>
            <w:tcBorders>
              <w:top w:val="dashed" w:sz="2" w:space="0" w:color="AAAAAA"/>
              <w:left w:val="dashed" w:sz="2" w:space="0" w:color="AAAAAA"/>
              <w:bottom w:val="dashed" w:sz="2" w:space="0" w:color="AAAAAA"/>
              <w:right w:val="dashed" w:sz="2" w:space="0" w:color="AAAAAA"/>
            </w:tcBorders>
          </w:tcPr>
          <w:p>
            <w:pPr>
              <w:pStyle w:val="Normal"/>
              <w:jc w:val="center"/>
              <w:rPr/>
            </w:pPr>
            <w:r>
              <w:rPr>
                <w:rFonts w:eastAsia="Arial" w:cs="Arial"/>
                <w:b w:val="false"/>
                <w:bCs w:val="false"/>
                <w:i/>
                <w:iCs/>
                <w:color w:val="888888"/>
                <w:sz w:val="20"/>
                <w:szCs w:val="20"/>
              </w:rPr>
              <w:t>Workflow diagram to be inserted. Export from draw.io as PNG.</w:t>
            </w:r>
          </w:p>
        </w:tc>
      </w:tr>
    </w:tbl>
    <w:p>
      <w:pPr>
        <w:pStyle w:val="Normal"/>
        <w:spacing w:before="0" w:after="200"/>
        <w:rPr/>
      </w:pPr>
      <w:r>
        <w:rPr/>
      </w:r>
    </w:p>
    <w:p>
      <w:pPr>
        <w:pStyle w:val="Heading1"/>
        <w:spacing w:before="360" w:after="120"/>
        <w:rPr>
          <w:rFonts w:ascii="Arial" w:hAnsi="Arial" w:eastAsia="Arial" w:cs="Arial"/>
          <w:b/>
          <w:bCs/>
          <w:i w:val="false"/>
          <w:i w:val="false"/>
          <w:iCs w:val="false"/>
          <w:sz w:val="32"/>
          <w:szCs w:val="32"/>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724275" cy="68770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724275" cy="6877050"/>
                    </a:xfrm>
                    <a:prstGeom prst="rect">
                      <a:avLst/>
                    </a:prstGeom>
                  </pic:spPr>
                </pic:pic>
              </a:graphicData>
            </a:graphic>
          </wp:anchor>
        </w:drawing>
      </w:r>
      <w:r>
        <w:br w:type="page"/>
      </w:r>
    </w:p>
    <w:p>
      <w:pPr>
        <w:pStyle w:val="Heading1"/>
        <w:spacing w:before="360" w:after="120"/>
        <w:rPr/>
      </w:pPr>
      <w:r>
        <w:rPr>
          <w:rFonts w:eastAsia="Arial" w:cs="Arial" w:ascii="Arial" w:hAnsi="Arial"/>
          <w:b/>
          <w:bCs/>
          <w:i w:val="false"/>
          <w:iCs w:val="false"/>
          <w:sz w:val="32"/>
          <w:szCs w:val="32"/>
        </w:rPr>
        <w:t>5. Process Completion</w:t>
      </w:r>
    </w:p>
    <w:p>
      <w:pPr>
        <w:pStyle w:val="Normal"/>
        <w:spacing w:before="0" w:after="40"/>
        <w:rPr/>
      </w:pPr>
      <w:r>
        <w:rPr>
          <w:rFonts w:eastAsia="Arial" w:cs="Arial"/>
          <w:b/>
          <w:bCs/>
          <w:i w:val="false"/>
          <w:iCs w:val="false"/>
          <w:sz w:val="22"/>
          <w:szCs w:val="22"/>
        </w:rPr>
        <w:t>Normal Completion</w:t>
      </w:r>
    </w:p>
    <w:p>
      <w:pPr>
        <w:pStyle w:val="Normal"/>
        <w:spacing w:before="0" w:after="120"/>
        <w:rPr/>
      </w:pPr>
      <w:r>
        <w:rPr>
          <w:rFonts w:eastAsia="Arial" w:cs="Arial"/>
          <w:b w:val="false"/>
          <w:bCs w:val="false"/>
          <w:i w:val="false"/>
          <w:iCs w:val="false"/>
          <w:sz w:val="22"/>
          <w:szCs w:val="22"/>
        </w:rPr>
        <w:t>The Engagement status transitions to Completed with a recorded Close Reason and system-populated Close Date. The Closed Engagement Survey has been sent and the thank-you communication has been sent by the mentor. The engagement’s outcome data has been reviewed (completion is encouraged but not enforced).</w:t>
      </w:r>
    </w:p>
    <w:p>
      <w:pPr>
        <w:pStyle w:val="Normal"/>
        <w:spacing w:before="0" w:after="40"/>
        <w:rPr/>
      </w:pPr>
      <w:r>
        <w:rPr>
          <w:rFonts w:eastAsia="Arial" w:cs="Arial"/>
          <w:b/>
          <w:bCs/>
          <w:i w:val="false"/>
          <w:iCs w:val="false"/>
          <w:sz w:val="22"/>
          <w:szCs w:val="22"/>
        </w:rPr>
        <w:t>Reopening</w:t>
      </w:r>
    </w:p>
    <w:p>
      <w:pPr>
        <w:pStyle w:val="Normal"/>
        <w:spacing w:before="0" w:after="120"/>
        <w:rPr/>
      </w:pPr>
      <w:r>
        <w:rPr>
          <w:rFonts w:eastAsia="Arial" w:cs="Arial"/>
          <w:b w:val="false"/>
          <w:bCs w:val="false"/>
          <w:i w:val="false"/>
          <w:iCs w:val="false"/>
          <w:sz w:val="22"/>
          <w:szCs w:val="22"/>
        </w:rPr>
        <w:t>A Completed engagement may be reopened by the mentor at their discretion by changing the status back to Active. This is expected to be rare. When an engagement is reopened, the outcome data, Close Reason, and Close Date are retained on the record. The mentor may manually update these fields if appropriate. The system does not automatically clear any data on reopening.</w:t>
      </w:r>
    </w:p>
    <w:p>
      <w:pPr>
        <w:pStyle w:val="Normal"/>
        <w:spacing w:before="0" w:after="40"/>
        <w:rPr/>
      </w:pPr>
      <w:r>
        <w:rPr>
          <w:rFonts w:eastAsia="Arial" w:cs="Arial"/>
          <w:b/>
          <w:bCs/>
          <w:i w:val="false"/>
          <w:iCs w:val="false"/>
          <w:sz w:val="22"/>
          <w:szCs w:val="22"/>
        </w:rPr>
        <w:t>Record Retention</w:t>
      </w:r>
    </w:p>
    <w:p>
      <w:pPr>
        <w:pStyle w:val="Normal"/>
        <w:spacing w:before="0" w:after="120"/>
        <w:rPr/>
      </w:pPr>
      <w:r>
        <w:rPr>
          <w:rFonts w:eastAsia="Arial" w:cs="Arial"/>
          <w:b w:val="false"/>
          <w:bCs w:val="false"/>
          <w:i w:val="false"/>
          <w:iCs w:val="false"/>
          <w:sz w:val="22"/>
          <w:szCs w:val="22"/>
        </w:rPr>
        <w:t>All Engagement records, Session records, and closure data are retained permanently. Closure data (outcome fields, Close Reason, Close Date) remains on the record even if the engagement is later reopened.</w:t>
      </w:r>
    </w:p>
    <w:p>
      <w:pPr>
        <w:pStyle w:val="Normal"/>
        <w:spacing w:before="0" w:after="40"/>
        <w:rPr/>
      </w:pPr>
      <w:r>
        <w:rPr>
          <w:rFonts w:eastAsia="Arial" w:cs="Arial"/>
          <w:b/>
          <w:bCs/>
          <w:i w:val="false"/>
          <w:iCs w:val="false"/>
          <w:sz w:val="22"/>
          <w:szCs w:val="22"/>
        </w:rPr>
        <w:t>Post-Completion Handoffs</w:t>
      </w:r>
    </w:p>
    <w:p>
      <w:pPr>
        <w:pStyle w:val="Normal"/>
        <w:spacing w:before="0" w:after="120"/>
        <w:rPr/>
      </w:pPr>
      <w:r>
        <w:rPr>
          <w:rFonts w:eastAsia="Arial" w:cs="Arial"/>
          <w:b w:val="false"/>
          <w:bCs w:val="false"/>
          <w:i w:val="false"/>
          <w:iCs w:val="false"/>
          <w:sz w:val="22"/>
          <w:szCs w:val="22"/>
        </w:rPr>
        <w:t>The Closed Engagement Survey is specific to this process and captures feedback on the completed engagement experience. This is distinct from the periodic satisfaction surveys managed by the Client Satisfaction Tracking process (MN-SURVEY) during the active engagement.</w:t>
      </w:r>
    </w:p>
    <w:p>
      <w:pPr>
        <w:pStyle w:val="Normal"/>
        <w:spacing w:before="0" w:after="120"/>
        <w:rPr/>
      </w:pPr>
      <w:r>
        <w:rPr>
          <w:rFonts w:eastAsia="Arial" w:cs="Arial"/>
          <w:b w:val="false"/>
          <w:bCs w:val="false"/>
          <w:i w:val="false"/>
          <w:iCs w:val="false"/>
          <w:sz w:val="22"/>
          <w:szCs w:val="22"/>
        </w:rPr>
        <w:t>No other downstream processes are triggered by engagement closure.</w:t>
      </w:r>
    </w:p>
    <w:p>
      <w:pPr>
        <w:pStyle w:val="Heading1"/>
        <w:spacing w:before="360" w:after="120"/>
        <w:rPr/>
      </w:pPr>
      <w:r>
        <w:rPr>
          <w:rFonts w:eastAsia="Arial" w:cs="Arial" w:ascii="Arial" w:hAnsi="Arial"/>
          <w:b/>
          <w:bCs/>
          <w:i w:val="false"/>
          <w:iCs w:val="false"/>
          <w:sz w:val="32"/>
          <w:szCs w:val="32"/>
        </w:rPr>
        <w:t>6. System Requirements</w:t>
      </w:r>
    </w:p>
    <w:tbl>
      <w:tblPr>
        <w:tblW w:w="9360" w:type="dxa"/>
        <w:jc w:val="left"/>
        <w:tblInd w:w="0" w:type="dxa"/>
        <w:tblLayout w:type="fixed"/>
        <w:tblCellMar>
          <w:top w:w="60" w:type="dxa"/>
          <w:left w:w="100" w:type="dxa"/>
          <w:bottom w:w="60" w:type="dxa"/>
          <w:right w:w="100" w:type="dxa"/>
        </w:tblCellMar>
      </w:tblPr>
      <w:tblGrid>
        <w:gridCol w:w="2000"/>
        <w:gridCol w:w="7359"/>
      </w:tblGrid>
      <w:tr>
        <w:trPr/>
        <w:tc>
          <w:tcPr>
            <w:tcW w:w="2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73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Requirement</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MN-CLOSE-REQ-001</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allow the mentor or Client Administrator to close an engagement by changing the Engagement status to Completed. Only engagements at Active, On-Hold, Dormant, or Inactive status are eligible for closure.</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MN-CLOSE-REQ-002</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require a Close Reason to be selected before the Engagement status can be changed to Completed.</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MN-CLOSE-REQ-003</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automatically populate the Close Date when the Engagement status transitions to Completed.</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MN-CLOSE-REQ-004</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present the engagement outcome fields (New Business Started, New Location Opened, Significant Revenue Increase, Revenue Increase Percentage, Significant Employment Increase, Employment Increase Percentage) for review when an engagement is closed. Completion is encouraged but not enforced.</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MN-CLOSE-REQ-005</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automatically send a Closed Engagement Survey to the Primary Engagement Contact when the Engagement status transitions to Completed.</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MN-CLOSE-REQ-006</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provide a configurable email template for the engagement closure thank-you communication. The default TO recipient is the Primary Engagement Contact, with other Engagement Contacts (if any) as CC. The mentor adds personal comments, may modify recipients at their discretion, and sends the email manually.</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MN-CLOSE-REQ-007</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allow the mentor to reopen a Completed engagement by changing the status back to Active. Outcome data and Close Reason are retained on the record and may be manually updated by the mentor.</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MN-CLOSE-REQ-008</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engagement outcome fields must be accessible on the Engagement record at any time during the engagement lifecycle, not only at closure. The closure workflow serves as the final prompt for completion.</w:t>
            </w:r>
          </w:p>
        </w:tc>
      </w:tr>
    </w:tbl>
    <w:p>
      <w:pPr>
        <w:pStyle w:val="Heading1"/>
        <w:spacing w:before="360" w:after="120"/>
        <w:rPr/>
      </w:pPr>
      <w:r>
        <w:rPr>
          <w:rFonts w:eastAsia="Arial" w:cs="Arial" w:ascii="Arial" w:hAnsi="Arial"/>
          <w:b/>
          <w:bCs/>
          <w:i w:val="false"/>
          <w:iCs w:val="false"/>
          <w:sz w:val="32"/>
          <w:szCs w:val="32"/>
        </w:rPr>
        <w:t>7. Process Data</w:t>
      </w:r>
    </w:p>
    <w:p>
      <w:pPr>
        <w:pStyle w:val="Normal"/>
        <w:spacing w:before="0" w:after="120"/>
        <w:rPr/>
      </w:pPr>
      <w:r>
        <w:rPr>
          <w:rFonts w:eastAsia="Arial" w:cs="Arial"/>
          <w:b w:val="false"/>
          <w:bCs w:val="false"/>
          <w:i w:val="false"/>
          <w:iCs w:val="false"/>
          <w:sz w:val="22"/>
          <w:szCs w:val="22"/>
        </w:rPr>
        <w:t>The following fields are referenced during the Engagement Closure process as supporting data. These fields provide context for the closure workflow, including identifying notification and email recipients and providing engagement context.</w:t>
      </w:r>
    </w:p>
    <w:p>
      <w:pPr>
        <w:pStyle w:val="Heading2"/>
        <w:spacing w:before="240" w:after="120"/>
        <w:rPr/>
      </w:pPr>
      <w:r>
        <w:rPr>
          <w:rFonts w:eastAsia="Arial" w:cs="Arial" w:ascii="Arial" w:hAnsi="Arial"/>
          <w:b/>
          <w:bCs/>
          <w:i w:val="false"/>
          <w:iCs w:val="false"/>
          <w:sz w:val="28"/>
          <w:szCs w:val="28"/>
        </w:rPr>
        <w:t>Entity: Engagement</w:t>
      </w:r>
    </w:p>
    <w:tbl>
      <w:tblPr>
        <w:tblW w:w="9360" w:type="dxa"/>
        <w:jc w:val="left"/>
        <w:tblInd w:w="0" w:type="dxa"/>
        <w:tblLayout w:type="fixed"/>
        <w:tblCellMar>
          <w:top w:w="60" w:type="dxa"/>
          <w:left w:w="100" w:type="dxa"/>
          <w:bottom w:w="60" w:type="dxa"/>
          <w:right w:w="100" w:type="dxa"/>
        </w:tblCellMar>
      </w:tblPr>
      <w:tblGrid>
        <w:gridCol w:w="2199"/>
        <w:gridCol w:w="1101"/>
        <w:gridCol w:w="799"/>
        <w:gridCol w:w="2400"/>
        <w:gridCol w:w="1001"/>
        <w:gridCol w:w="1859"/>
      </w:tblGrid>
      <w:tr>
        <w:trPr/>
        <w:tc>
          <w:tcPr>
            <w:tcW w:w="21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11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Required</w:t>
            </w:r>
          </w:p>
        </w:tc>
        <w:tc>
          <w:tcPr>
            <w:tcW w:w="24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10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Status</w:t>
            </w:r>
          </w:p>
        </w:tc>
        <w:tc>
          <w:tcPr>
            <w:tcW w:w="11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enum</w:t>
            </w:r>
          </w:p>
        </w:tc>
        <w:tc>
          <w:tcPr>
            <w:tcW w:w="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Active, On-Hold, Dormant, Inactive</w:t>
            </w:r>
          </w:p>
        </w:tc>
        <w:tc>
          <w:tcPr>
            <w:tcW w:w="10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MN-CLOSE-DAT-001</w:t>
            </w:r>
          </w:p>
        </w:tc>
      </w:tr>
      <w:tr>
        <w:trPr/>
        <w:tc>
          <w:tcPr>
            <w:tcW w:w="9359" w:type="dxa"/>
            <w:gridSpan w:val="6"/>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current lifecycle stage of the engagement. Must be Active, On-Hold, Dormant, or Inactive for closure to be initiated. Defined across MN-INTAKE, MN-MATCH, MN-ENGAGE, and MN-INACTIVE.</w:t>
            </w:r>
          </w:p>
        </w:tc>
      </w:tr>
      <w:tr>
        <w:trPr/>
        <w:tc>
          <w:tcPr>
            <w:tcW w:w="21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Assigned Mentor</w:t>
            </w:r>
          </w:p>
        </w:tc>
        <w:tc>
          <w:tcPr>
            <w:tcW w:w="11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relationship</w:t>
            </w:r>
          </w:p>
        </w:tc>
        <w:tc>
          <w:tcPr>
            <w:tcW w:w="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24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MN-CLOSE-DAT-002</w:t>
            </w:r>
          </w:p>
        </w:tc>
      </w:tr>
      <w:tr>
        <w:trPr/>
        <w:tc>
          <w:tcPr>
            <w:tcW w:w="9359" w:type="dxa"/>
            <w:gridSpan w:val="6"/>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The primary volunteer mentor assigned to this engagement. Typically the person initiating closure and sending the thank-you email. Defined in MN-MATCH.</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Additional Mentors</w:t>
            </w:r>
          </w:p>
        </w:tc>
        <w:tc>
          <w:tcPr>
            <w:tcW w:w="11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relationship (many)</w:t>
            </w:r>
          </w:p>
        </w:tc>
        <w:tc>
          <w:tcPr>
            <w:tcW w:w="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MN-CLOSE-DAT-003</w:t>
            </w:r>
          </w:p>
        </w:tc>
      </w:tr>
      <w:tr>
        <w:trPr/>
        <w:tc>
          <w:tcPr>
            <w:tcW w:w="9359" w:type="dxa"/>
            <w:gridSpan w:val="6"/>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Co-mentors or subject matter experts assigned to the engagement. May be included as senders on the thank-you communication. Defined in MN-ENGAGE.</w:t>
            </w:r>
          </w:p>
        </w:tc>
      </w:tr>
      <w:tr>
        <w:trPr/>
        <w:tc>
          <w:tcPr>
            <w:tcW w:w="21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Engagement Contacts</w:t>
            </w:r>
          </w:p>
        </w:tc>
        <w:tc>
          <w:tcPr>
            <w:tcW w:w="11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relationship (many)</w:t>
            </w:r>
          </w:p>
        </w:tc>
        <w:tc>
          <w:tcPr>
            <w:tcW w:w="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4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MN-CLOSE-DAT-004</w:t>
            </w:r>
          </w:p>
        </w:tc>
      </w:tr>
      <w:tr>
        <w:trPr/>
        <w:tc>
          <w:tcPr>
            <w:tcW w:w="9359" w:type="dxa"/>
            <w:gridSpan w:val="6"/>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Additional client contacts participating in this engagement beyond the Primary Engagement Contact. The mentor may select from these contacts as additional recipients for the thank-you email. Optional — many engagements will have only the Primary Engagement Contact. Defined in MN-INTAKE and MN-ENGAGE.</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Primary Engagement Contact</w:t>
            </w:r>
          </w:p>
        </w:tc>
        <w:tc>
          <w:tcPr>
            <w:tcW w:w="11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relationship</w:t>
            </w:r>
          </w:p>
        </w:tc>
        <w:tc>
          <w:tcPr>
            <w:tcW w:w="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MN-CLOSE-DAT-019</w:t>
            </w:r>
          </w:p>
        </w:tc>
      </w:tr>
      <w:tr>
        <w:trPr/>
        <w:tc>
          <w:tcPr>
            <w:tcW w:w="9359" w:type="dxa"/>
            <w:gridSpan w:val="6"/>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single client contact who is the primary point of contact for this specific engagement. The Closed Engagement Survey is sent to this contact. The default TO recipient for the thank-you email. Defined in MN-INTAKE.</w:t>
            </w:r>
          </w:p>
        </w:tc>
      </w:tr>
    </w:tbl>
    <w:p>
      <w:pPr>
        <w:pStyle w:val="Normal"/>
        <w:spacing w:before="0" w:after="120"/>
        <w:rPr/>
      </w:pPr>
      <w:r>
        <w:rPr/>
      </w:r>
    </w:p>
    <w:p>
      <w:pPr>
        <w:pStyle w:val="Heading2"/>
        <w:spacing w:before="240" w:after="120"/>
        <w:rPr/>
      </w:pPr>
      <w:r>
        <w:rPr>
          <w:rFonts w:eastAsia="Arial" w:cs="Arial" w:ascii="Arial" w:hAnsi="Arial"/>
          <w:b/>
          <w:bCs/>
          <w:i w:val="false"/>
          <w:iCs w:val="false"/>
          <w:sz w:val="28"/>
          <w:szCs w:val="28"/>
        </w:rPr>
        <w:t>Entity: Client Organization</w:t>
      </w:r>
    </w:p>
    <w:tbl>
      <w:tblPr>
        <w:tblW w:w="9360" w:type="dxa"/>
        <w:jc w:val="left"/>
        <w:tblInd w:w="0" w:type="dxa"/>
        <w:tblLayout w:type="fixed"/>
        <w:tblCellMar>
          <w:top w:w="60" w:type="dxa"/>
          <w:left w:w="100" w:type="dxa"/>
          <w:bottom w:w="60" w:type="dxa"/>
          <w:right w:w="100" w:type="dxa"/>
        </w:tblCellMar>
      </w:tblPr>
      <w:tblGrid>
        <w:gridCol w:w="2199"/>
        <w:gridCol w:w="1101"/>
        <w:gridCol w:w="799"/>
        <w:gridCol w:w="2400"/>
        <w:gridCol w:w="1001"/>
        <w:gridCol w:w="1859"/>
      </w:tblGrid>
      <w:tr>
        <w:trPr/>
        <w:tc>
          <w:tcPr>
            <w:tcW w:w="21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11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Required</w:t>
            </w:r>
          </w:p>
        </w:tc>
        <w:tc>
          <w:tcPr>
            <w:tcW w:w="24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10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Business Name</w:t>
            </w:r>
          </w:p>
        </w:tc>
        <w:tc>
          <w:tcPr>
            <w:tcW w:w="11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varchar</w:t>
            </w:r>
          </w:p>
        </w:tc>
        <w:tc>
          <w:tcPr>
            <w:tcW w:w="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MN-CLOSE-DAT-005</w:t>
            </w:r>
          </w:p>
        </w:tc>
      </w:tr>
      <w:tr>
        <w:trPr/>
        <w:tc>
          <w:tcPr>
            <w:tcW w:w="9359" w:type="dxa"/>
            <w:gridSpan w:val="6"/>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legal or operating name of the client business. Provides context in the thank-you email and survey. Defined in MN-INTAKE.</w:t>
            </w:r>
          </w:p>
        </w:tc>
      </w:tr>
    </w:tbl>
    <w:p>
      <w:pPr>
        <w:pStyle w:val="Normal"/>
        <w:spacing w:before="0" w:after="120"/>
        <w:rPr/>
      </w:pPr>
      <w:r>
        <w:rPr/>
      </w:r>
    </w:p>
    <w:p>
      <w:pPr>
        <w:pStyle w:val="Heading2"/>
        <w:spacing w:before="240" w:after="120"/>
        <w:rPr/>
      </w:pPr>
      <w:r>
        <w:rPr>
          <w:rFonts w:eastAsia="Arial" w:cs="Arial" w:ascii="Arial" w:hAnsi="Arial"/>
          <w:b/>
          <w:bCs/>
          <w:i w:val="false"/>
          <w:iCs w:val="false"/>
          <w:sz w:val="28"/>
          <w:szCs w:val="28"/>
        </w:rPr>
        <w:t>Entity: Client Contact</w:t>
      </w:r>
    </w:p>
    <w:tbl>
      <w:tblPr>
        <w:tblW w:w="9360" w:type="dxa"/>
        <w:jc w:val="left"/>
        <w:tblInd w:w="0" w:type="dxa"/>
        <w:tblLayout w:type="fixed"/>
        <w:tblCellMar>
          <w:top w:w="60" w:type="dxa"/>
          <w:left w:w="100" w:type="dxa"/>
          <w:bottom w:w="60" w:type="dxa"/>
          <w:right w:w="100" w:type="dxa"/>
        </w:tblCellMar>
      </w:tblPr>
      <w:tblGrid>
        <w:gridCol w:w="2199"/>
        <w:gridCol w:w="1101"/>
        <w:gridCol w:w="799"/>
        <w:gridCol w:w="2400"/>
        <w:gridCol w:w="1001"/>
        <w:gridCol w:w="1859"/>
      </w:tblGrid>
      <w:tr>
        <w:trPr/>
        <w:tc>
          <w:tcPr>
            <w:tcW w:w="21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11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Required</w:t>
            </w:r>
          </w:p>
        </w:tc>
        <w:tc>
          <w:tcPr>
            <w:tcW w:w="24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10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First Name</w:t>
            </w:r>
          </w:p>
        </w:tc>
        <w:tc>
          <w:tcPr>
            <w:tcW w:w="11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varchar</w:t>
            </w:r>
          </w:p>
        </w:tc>
        <w:tc>
          <w:tcPr>
            <w:tcW w:w="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MN-CLOSE-DAT-006</w:t>
            </w:r>
          </w:p>
        </w:tc>
      </w:tr>
      <w:tr>
        <w:trPr/>
        <w:tc>
          <w:tcPr>
            <w:tcW w:w="9359" w:type="dxa"/>
            <w:gridSpan w:val="6"/>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contact’s first name. Used in the thank-you email and survey communications. Defined in MN-INTAKE.</w:t>
            </w:r>
          </w:p>
        </w:tc>
      </w:tr>
      <w:tr>
        <w:trPr/>
        <w:tc>
          <w:tcPr>
            <w:tcW w:w="21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Last Name</w:t>
            </w:r>
          </w:p>
        </w:tc>
        <w:tc>
          <w:tcPr>
            <w:tcW w:w="11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varchar</w:t>
            </w:r>
          </w:p>
        </w:tc>
        <w:tc>
          <w:tcPr>
            <w:tcW w:w="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24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MN-CLOSE-DAT-007</w:t>
            </w:r>
          </w:p>
        </w:tc>
      </w:tr>
      <w:tr>
        <w:trPr/>
        <w:tc>
          <w:tcPr>
            <w:tcW w:w="9359" w:type="dxa"/>
            <w:gridSpan w:val="6"/>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The contact’s last name. Defined in MN-INTAKE.</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Email</w:t>
            </w:r>
          </w:p>
        </w:tc>
        <w:tc>
          <w:tcPr>
            <w:tcW w:w="11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email</w:t>
            </w:r>
          </w:p>
        </w:tc>
        <w:tc>
          <w:tcPr>
            <w:tcW w:w="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MN-CLOSE-DAT-008</w:t>
            </w:r>
          </w:p>
        </w:tc>
      </w:tr>
      <w:tr>
        <w:trPr/>
        <w:tc>
          <w:tcPr>
            <w:tcW w:w="9359" w:type="dxa"/>
            <w:gridSpan w:val="6"/>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contact’s primary email address. Used to send the Closed Engagement Survey and thank-you email. Defined in MN-INTAKE.</w:t>
            </w:r>
          </w:p>
        </w:tc>
      </w:tr>
      <w:tr>
        <w:trPr/>
        <w:tc>
          <w:tcPr>
            <w:tcW w:w="21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Primary Contact</w:t>
            </w:r>
          </w:p>
        </w:tc>
        <w:tc>
          <w:tcPr>
            <w:tcW w:w="11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bool</w:t>
            </w:r>
          </w:p>
        </w:tc>
        <w:tc>
          <w:tcPr>
            <w:tcW w:w="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24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MN-CLOSE-DAT-009</w:t>
            </w:r>
          </w:p>
        </w:tc>
      </w:tr>
      <w:tr>
        <w:trPr/>
        <w:tc>
          <w:tcPr>
            <w:tcW w:w="9359" w:type="dxa"/>
            <w:gridSpan w:val="6"/>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Identifies the primary point of contact for the client organization as a whole. This is distinct from the engagement-level Primary Engagement Contact. Defined in MN-INTAKE.</w:t>
            </w:r>
          </w:p>
        </w:tc>
      </w:tr>
    </w:tbl>
    <w:p>
      <w:pPr>
        <w:pStyle w:val="Heading1"/>
        <w:spacing w:before="360" w:after="120"/>
        <w:rPr/>
      </w:pPr>
      <w:r>
        <w:rPr>
          <w:rFonts w:eastAsia="Arial" w:cs="Arial" w:ascii="Arial" w:hAnsi="Arial"/>
          <w:b/>
          <w:bCs/>
          <w:i w:val="false"/>
          <w:iCs w:val="false"/>
          <w:sz w:val="32"/>
          <w:szCs w:val="32"/>
        </w:rPr>
        <w:t>8. Data Collected</w:t>
      </w:r>
    </w:p>
    <w:p>
      <w:pPr>
        <w:pStyle w:val="Normal"/>
        <w:spacing w:before="0" w:after="120"/>
        <w:rPr/>
      </w:pPr>
      <w:r>
        <w:rPr>
          <w:rFonts w:eastAsia="Arial" w:cs="Arial"/>
          <w:b w:val="false"/>
          <w:bCs w:val="false"/>
          <w:i w:val="false"/>
          <w:iCs w:val="false"/>
          <w:sz w:val="22"/>
          <w:szCs w:val="22"/>
        </w:rPr>
        <w:t>The following fields are created or updated during the Engagement Closure process. The first three fields were originally defined in prior process documents; this process provides the authoritative closure-specific behavior. The six outcome fields are new fields defined by this process.</w:t>
      </w:r>
    </w:p>
    <w:p>
      <w:pPr>
        <w:pStyle w:val="Heading2"/>
        <w:spacing w:before="240" w:after="120"/>
        <w:rPr/>
      </w:pPr>
      <w:r>
        <w:rPr>
          <w:rFonts w:eastAsia="Arial" w:cs="Arial" w:ascii="Arial" w:hAnsi="Arial"/>
          <w:b/>
          <w:bCs/>
          <w:i w:val="false"/>
          <w:iCs w:val="false"/>
          <w:sz w:val="28"/>
          <w:szCs w:val="28"/>
        </w:rPr>
        <w:t>Entity: Engagement</w:t>
      </w:r>
    </w:p>
    <w:p>
      <w:pPr>
        <w:pStyle w:val="Normal"/>
        <w:spacing w:before="0" w:after="40"/>
        <w:rPr/>
      </w:pPr>
      <w:r>
        <w:rPr>
          <w:rFonts w:eastAsia="Arial" w:cs="Arial"/>
          <w:b/>
          <w:bCs/>
          <w:i w:val="false"/>
          <w:iCs w:val="false"/>
          <w:sz w:val="22"/>
          <w:szCs w:val="22"/>
        </w:rPr>
        <w:t>Fields Updated at Closure (defined in prior processes)</w:t>
      </w:r>
    </w:p>
    <w:tbl>
      <w:tblPr>
        <w:tblW w:w="9360" w:type="dxa"/>
        <w:jc w:val="left"/>
        <w:tblInd w:w="0" w:type="dxa"/>
        <w:tblLayout w:type="fixed"/>
        <w:tblCellMar>
          <w:top w:w="60" w:type="dxa"/>
          <w:left w:w="100" w:type="dxa"/>
          <w:bottom w:w="60" w:type="dxa"/>
          <w:right w:w="100" w:type="dxa"/>
        </w:tblCellMar>
      </w:tblPr>
      <w:tblGrid>
        <w:gridCol w:w="2199"/>
        <w:gridCol w:w="1101"/>
        <w:gridCol w:w="799"/>
        <w:gridCol w:w="2400"/>
        <w:gridCol w:w="1001"/>
        <w:gridCol w:w="1859"/>
      </w:tblGrid>
      <w:tr>
        <w:trPr/>
        <w:tc>
          <w:tcPr>
            <w:tcW w:w="21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11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Required</w:t>
            </w:r>
          </w:p>
        </w:tc>
        <w:tc>
          <w:tcPr>
            <w:tcW w:w="24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10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Status</w:t>
            </w:r>
          </w:p>
        </w:tc>
        <w:tc>
          <w:tcPr>
            <w:tcW w:w="11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enum</w:t>
            </w:r>
          </w:p>
        </w:tc>
        <w:tc>
          <w:tcPr>
            <w:tcW w:w="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Submitted, Declined, Pending Acceptance, Assigned, Active, On-Hold, Dormant, Inactive, Abandoned, Completed</w:t>
            </w:r>
          </w:p>
        </w:tc>
        <w:tc>
          <w:tcPr>
            <w:tcW w:w="10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MN-CLOSE-DAT-010</w:t>
            </w:r>
          </w:p>
        </w:tc>
      </w:tr>
      <w:tr>
        <w:trPr/>
        <w:tc>
          <w:tcPr>
            <w:tcW w:w="9359" w:type="dxa"/>
            <w:gridSpan w:val="6"/>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Updated by this process: transitions from Active, On-Hold, Dormant, or Inactive to Completed when the mentor or Client Administrator initiates closure. May be reverted from Completed to Active if the mentor reopens the engagement.</w:t>
            </w:r>
          </w:p>
        </w:tc>
      </w:tr>
      <w:tr>
        <w:trPr/>
        <w:tc>
          <w:tcPr>
            <w:tcW w:w="21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Close Date</w:t>
            </w:r>
          </w:p>
        </w:tc>
        <w:tc>
          <w:tcPr>
            <w:tcW w:w="11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date</w:t>
            </w:r>
          </w:p>
        </w:tc>
        <w:tc>
          <w:tcPr>
            <w:tcW w:w="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4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MN-CLOSE-DAT-011</w:t>
            </w:r>
          </w:p>
        </w:tc>
      </w:tr>
      <w:tr>
        <w:trPr/>
        <w:tc>
          <w:tcPr>
            <w:tcW w:w="9359" w:type="dxa"/>
            <w:gridSpan w:val="6"/>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The date the engagement was formally closed. System-populated automatically when the Engagement status transitions to Completed. Also populated when status transitions to Declined (by MN-INTAKE) or Abandoned (by MN-INACTIVE). Retained on the record if the engagement is reopened.</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Close Reason</w:t>
            </w:r>
          </w:p>
        </w:tc>
        <w:tc>
          <w:tcPr>
            <w:tcW w:w="11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enum</w:t>
            </w:r>
          </w:p>
        </w:tc>
        <w:tc>
          <w:tcPr>
            <w:tcW w:w="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Goals Achieved, Client Withdrew, Inactive / No Response, Other, TBD — see MN-CLOSE-ISS-001</w:t>
            </w:r>
          </w:p>
        </w:tc>
        <w:tc>
          <w:tcPr>
            <w:tcW w:w="10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MN-CLOSE-DAT-012</w:t>
            </w:r>
          </w:p>
        </w:tc>
      </w:tr>
      <w:tr>
        <w:trPr/>
        <w:tc>
          <w:tcPr>
            <w:tcW w:w="9359" w:type="dxa"/>
            <w:gridSpan w:val="6"/>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reason the engagement was closed. Required when the Engagement status is changed to Completed. The value “Inactive / No Response” is set automatically by the Activity Monitoring process (MN-INACTIVE) for Abandoned engagements. Additional values may be defined by organizational leadership. Retained on the record if the engagement is reopened.</w:t>
            </w:r>
          </w:p>
        </w:tc>
      </w:tr>
    </w:tbl>
    <w:p>
      <w:pPr>
        <w:pStyle w:val="Normal"/>
        <w:spacing w:before="0" w:after="120"/>
        <w:rPr/>
      </w:pPr>
      <w:r>
        <w:rPr/>
      </w:r>
    </w:p>
    <w:p>
      <w:pPr>
        <w:pStyle w:val="Normal"/>
        <w:spacing w:before="0" w:after="40"/>
        <w:rPr/>
      </w:pPr>
      <w:r>
        <w:rPr>
          <w:rFonts w:eastAsia="Arial" w:cs="Arial"/>
          <w:b/>
          <w:bCs/>
          <w:i w:val="false"/>
          <w:iCs w:val="false"/>
          <w:sz w:val="22"/>
          <w:szCs w:val="22"/>
        </w:rPr>
        <w:t>Engagement Outcome Fields (new)</w:t>
      </w:r>
    </w:p>
    <w:p>
      <w:pPr>
        <w:pStyle w:val="Normal"/>
        <w:spacing w:before="0" w:after="120"/>
        <w:rPr/>
      </w:pPr>
      <w:r>
        <w:rPr>
          <w:rFonts w:eastAsia="Arial" w:cs="Arial"/>
          <w:b w:val="false"/>
          <w:bCs w:val="false"/>
          <w:i w:val="false"/>
          <w:iCs w:val="false"/>
          <w:sz w:val="22"/>
          <w:szCs w:val="22"/>
        </w:rPr>
        <w:t>The following fields are accessible on the Engagement record at any time during the engagement lifecycle. The closure workflow serves as the final prompt for completion. All outcome fields are optional.</w:t>
      </w:r>
    </w:p>
    <w:p>
      <w:pPr>
        <w:pStyle w:val="Normal"/>
        <w:spacing w:before="0" w:after="120"/>
        <w:rPr/>
      </w:pPr>
      <w:r>
        <w:rPr/>
      </w:r>
    </w:p>
    <w:tbl>
      <w:tblPr>
        <w:tblW w:w="9360" w:type="dxa"/>
        <w:jc w:val="left"/>
        <w:tblInd w:w="0" w:type="dxa"/>
        <w:tblLayout w:type="fixed"/>
        <w:tblCellMar>
          <w:top w:w="60" w:type="dxa"/>
          <w:left w:w="100" w:type="dxa"/>
          <w:bottom w:w="60" w:type="dxa"/>
          <w:right w:w="100" w:type="dxa"/>
        </w:tblCellMar>
      </w:tblPr>
      <w:tblGrid>
        <w:gridCol w:w="2199"/>
        <w:gridCol w:w="1101"/>
        <w:gridCol w:w="799"/>
        <w:gridCol w:w="2400"/>
        <w:gridCol w:w="1001"/>
        <w:gridCol w:w="1859"/>
      </w:tblGrid>
      <w:tr>
        <w:trPr/>
        <w:tc>
          <w:tcPr>
            <w:tcW w:w="21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11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Required</w:t>
            </w:r>
          </w:p>
        </w:tc>
        <w:tc>
          <w:tcPr>
            <w:tcW w:w="24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10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New Business Started</w:t>
            </w:r>
          </w:p>
        </w:tc>
        <w:tc>
          <w:tcPr>
            <w:tcW w:w="11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bool</w:t>
            </w:r>
          </w:p>
        </w:tc>
        <w:tc>
          <w:tcPr>
            <w:tcW w:w="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MN-CLOSE-DAT-013</w:t>
            </w:r>
          </w:p>
        </w:tc>
      </w:tr>
      <w:tr>
        <w:trPr/>
        <w:tc>
          <w:tcPr>
            <w:tcW w:w="9359" w:type="dxa"/>
            <w:gridSpan w:val="6"/>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Whether the engagement was responsible for helping the client start a new business. Tracked for funder impact reporting and program performance analysis. Accessible throughout the engagement lifecycle; closure is the final prompt for completion.</w:t>
            </w:r>
          </w:p>
        </w:tc>
      </w:tr>
      <w:tr>
        <w:trPr/>
        <w:tc>
          <w:tcPr>
            <w:tcW w:w="21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New Location Opened</w:t>
            </w:r>
          </w:p>
        </w:tc>
        <w:tc>
          <w:tcPr>
            <w:tcW w:w="11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bool</w:t>
            </w:r>
          </w:p>
        </w:tc>
        <w:tc>
          <w:tcPr>
            <w:tcW w:w="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4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MN-CLOSE-DAT-014</w:t>
            </w:r>
          </w:p>
        </w:tc>
      </w:tr>
      <w:tr>
        <w:trPr/>
        <w:tc>
          <w:tcPr>
            <w:tcW w:w="9359" w:type="dxa"/>
            <w:gridSpan w:val="6"/>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Whether the engagement resulted in the client opening a new business location. Tracked for business expansion impact reporting.</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Significant Revenue Increase</w:t>
            </w:r>
          </w:p>
        </w:tc>
        <w:tc>
          <w:tcPr>
            <w:tcW w:w="11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bool</w:t>
            </w:r>
          </w:p>
        </w:tc>
        <w:tc>
          <w:tcPr>
            <w:tcW w:w="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MN-CLOSE-DAT-015</w:t>
            </w:r>
          </w:p>
        </w:tc>
      </w:tr>
      <w:tr>
        <w:trPr/>
        <w:tc>
          <w:tcPr>
            <w:tcW w:w="9359" w:type="dxa"/>
            <w:gridSpan w:val="6"/>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Whether the engagement resulted in a significant increase in the client’s revenue. Tracked for financial impact reporting.</w:t>
            </w:r>
          </w:p>
        </w:tc>
      </w:tr>
      <w:tr>
        <w:trPr/>
        <w:tc>
          <w:tcPr>
            <w:tcW w:w="21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Revenue Increase Percentage</w:t>
            </w:r>
          </w:p>
        </w:tc>
        <w:tc>
          <w:tcPr>
            <w:tcW w:w="11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float</w:t>
            </w:r>
          </w:p>
        </w:tc>
        <w:tc>
          <w:tcPr>
            <w:tcW w:w="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4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MN-CLOSE-DAT-016</w:t>
            </w:r>
          </w:p>
        </w:tc>
      </w:tr>
      <w:tr>
        <w:trPr/>
        <w:tc>
          <w:tcPr>
            <w:tcW w:w="9359" w:type="dxa"/>
            <w:gridSpan w:val="6"/>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The percentage increase in revenue relative to starting revenue. Independent of the Significant Revenue Increase field — may be entered regardless of the yes/no answer.</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Significant Employment Increase</w:t>
            </w:r>
          </w:p>
        </w:tc>
        <w:tc>
          <w:tcPr>
            <w:tcW w:w="11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bool</w:t>
            </w:r>
          </w:p>
        </w:tc>
        <w:tc>
          <w:tcPr>
            <w:tcW w:w="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MN-CLOSE-DAT-017</w:t>
            </w:r>
          </w:p>
        </w:tc>
      </w:tr>
      <w:tr>
        <w:trPr/>
        <w:tc>
          <w:tcPr>
            <w:tcW w:w="9359" w:type="dxa"/>
            <w:gridSpan w:val="6"/>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Whether the engagement resulted in a significant increase in the client’s employee count. Tracked for jobs impact reporting.</w:t>
            </w:r>
          </w:p>
        </w:tc>
      </w:tr>
      <w:tr>
        <w:trPr/>
        <w:tc>
          <w:tcPr>
            <w:tcW w:w="21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Employment Increase Percentage</w:t>
            </w:r>
          </w:p>
        </w:tc>
        <w:tc>
          <w:tcPr>
            <w:tcW w:w="11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float</w:t>
            </w:r>
          </w:p>
        </w:tc>
        <w:tc>
          <w:tcPr>
            <w:tcW w:w="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4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0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MN-CLOSE-DAT-018</w:t>
            </w:r>
          </w:p>
        </w:tc>
      </w:tr>
      <w:tr>
        <w:trPr/>
        <w:tc>
          <w:tcPr>
            <w:tcW w:w="9359" w:type="dxa"/>
            <w:gridSpan w:val="6"/>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The percentage increase in employees relative to the starting employee count. Independent of the Significant Employment Increase field — may be entered regardless of the yes/no answer.</w:t>
            </w:r>
          </w:p>
        </w:tc>
      </w:tr>
    </w:tbl>
    <w:p>
      <w:pPr>
        <w:pStyle w:val="Heading1"/>
        <w:spacing w:before="360" w:after="120"/>
        <w:rPr/>
      </w:pPr>
      <w:r>
        <w:rPr>
          <w:rFonts w:eastAsia="Arial" w:cs="Arial" w:ascii="Arial" w:hAnsi="Arial"/>
          <w:b/>
          <w:bCs/>
          <w:i w:val="false"/>
          <w:iCs w:val="false"/>
          <w:sz w:val="32"/>
          <w:szCs w:val="32"/>
        </w:rPr>
        <w:t>9. Open Issues</w:t>
      </w:r>
    </w:p>
    <w:tbl>
      <w:tblPr>
        <w:tblW w:w="9360" w:type="dxa"/>
        <w:jc w:val="left"/>
        <w:tblInd w:w="0" w:type="dxa"/>
        <w:tblLayout w:type="fixed"/>
        <w:tblCellMar>
          <w:top w:w="60" w:type="dxa"/>
          <w:left w:w="100" w:type="dxa"/>
          <w:bottom w:w="60" w:type="dxa"/>
          <w:right w:w="100" w:type="dxa"/>
        </w:tblCellMar>
      </w:tblPr>
      <w:tblGrid>
        <w:gridCol w:w="2000"/>
        <w:gridCol w:w="7359"/>
      </w:tblGrid>
      <w:tr>
        <w:trPr/>
        <w:tc>
          <w:tcPr>
            <w:tcW w:w="2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73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Open Issue</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MN-CLOSE-ISS-001</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Close Reason values: The complete list of allowed values needs to be finalized. Current values (Goals Achieved, Client Withdrew, Inactive / No Response, Other) are the most commonly used, but additional values may be needed. Needs input from: CBM program leadership.</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MN-CLOSE-ISS-002</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Additional engagement outcome metrics: Beyond the six outcome fields defined (New Business Started, New Location Opened, Significant Revenue Increase, Revenue Increase Percentage, Significant Employment Increase, Employment Increase Percentage), additional metrics may be needed for analytics and performance analysis. Needs input from: CBM program leadership.</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MN-CLOSE-ISS-003</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Closed Engagement Survey response tracking: It has not been determined whether survey responses are captured as fields within the CRM or handled by an external survey tool. Needs input from: CBM program leadership and Technology Administrator.</w:t>
            </w:r>
          </w:p>
        </w:tc>
      </w:tr>
    </w:tbl>
    <w:p>
      <w:pPr>
        <w:pStyle w:val="Heading1"/>
        <w:spacing w:before="360" w:after="120"/>
        <w:rPr/>
      </w:pPr>
      <w:r>
        <w:rPr>
          <w:rFonts w:eastAsia="Arial" w:cs="Arial" w:ascii="Arial" w:hAnsi="Arial"/>
          <w:b/>
          <w:bCs/>
          <w:i w:val="false"/>
          <w:iCs w:val="false"/>
          <w:sz w:val="32"/>
          <w:szCs w:val="32"/>
        </w:rPr>
        <w:t>10. Updates to Prior Documents</w:t>
      </w:r>
    </w:p>
    <w:p>
      <w:pPr>
        <w:pStyle w:val="Normal"/>
        <w:spacing w:before="0" w:after="120"/>
        <w:rPr/>
      </w:pPr>
      <w:r>
        <w:rPr>
          <w:rFonts w:eastAsia="Arial" w:cs="Arial"/>
          <w:b w:val="false"/>
          <w:bCs w:val="false"/>
          <w:i w:val="false"/>
          <w:iCs w:val="false"/>
          <w:sz w:val="22"/>
          <w:szCs w:val="22"/>
        </w:rPr>
        <w:t>The following update to a previously completed process document was identified during this interview:</w:t>
      </w:r>
    </w:p>
    <w:p>
      <w:pPr>
        <w:pStyle w:val="Normal"/>
        <w:spacing w:before="0" w:after="40"/>
        <w:rPr/>
      </w:pPr>
      <w:r>
        <w:rPr>
          <w:rFonts w:eastAsia="Arial" w:cs="Arial"/>
          <w:b/>
          <w:bCs/>
          <w:i w:val="false"/>
          <w:iCs w:val="false"/>
          <w:sz w:val="22"/>
          <w:szCs w:val="22"/>
        </w:rPr>
        <w:t>Engagement Management (MN-ENGAGE) — Remove New Business Started (MN-ENGAGE-DAT-032)</w:t>
      </w:r>
    </w:p>
    <w:p>
      <w:pPr>
        <w:pStyle w:val="Normal"/>
        <w:spacing w:before="0" w:after="120"/>
        <w:rPr/>
      </w:pPr>
      <w:r>
        <w:rPr>
          <w:rFonts w:eastAsia="Arial" w:cs="Arial"/>
          <w:b w:val="false"/>
          <w:bCs w:val="false"/>
          <w:i w:val="false"/>
          <w:iCs w:val="false"/>
          <w:sz w:val="22"/>
          <w:szCs w:val="22"/>
        </w:rPr>
        <w:t>Remove the New Business Started field (bool) from the Session entity in Section 8 (Data Collected). This field is being moved to the Engagement entity and defined at the engagement level in MN-CLOSE as MN-CLOSE-DAT-013. The session-level tracking is no longer needed. The mentor confirmed that tracking this metric per session is not important — it should be tracked as an overall engagement outcome instead.</w:t>
      </w:r>
    </w:p>
    <w:p>
      <w:pPr>
        <w:pStyle w:val="Heading1"/>
        <w:spacing w:before="360" w:after="120"/>
        <w:rPr/>
      </w:pPr>
      <w:r>
        <w:rPr>
          <w:rFonts w:eastAsia="Arial" w:cs="Arial" w:ascii="Arial" w:hAnsi="Arial"/>
          <w:b/>
          <w:bCs/>
          <w:i w:val="false"/>
          <w:iCs w:val="false"/>
          <w:sz w:val="32"/>
          <w:szCs w:val="32"/>
        </w:rPr>
        <w:t>11. Interview Transcript</w:t>
      </w:r>
    </w:p>
    <w:p>
      <w:pPr>
        <w:pStyle w:val="Normal"/>
        <w:spacing w:before="0" w:after="120"/>
        <w:rPr/>
      </w:pPr>
      <w:r>
        <w:rPr>
          <w:rFonts w:eastAsia="Arial" w:cs="Arial"/>
          <w:b w:val="false"/>
          <w:bCs w:val="false"/>
          <w:i w:val="false"/>
          <w:iCs w:val="false"/>
          <w:sz w:val="22"/>
          <w:szCs w:val="22"/>
        </w:rPr>
        <w:t>The following is a condensed record of the process definition interview conducted on 03-31-26. All questions, answers, and decisions are captured. Content is organized by topic area for readability.</w:t>
      </w:r>
    </w:p>
    <w:p>
      <w:pPr>
        <w:pStyle w:val="Normal"/>
        <w:spacing w:before="0" w:after="40"/>
        <w:rPr/>
      </w:pPr>
      <w:r>
        <w:rPr>
          <w:rFonts w:eastAsia="Arial" w:cs="Arial"/>
          <w:b/>
          <w:bCs/>
          <w:i w:val="false"/>
          <w:iCs w:val="false"/>
          <w:sz w:val="22"/>
          <w:szCs w:val="22"/>
        </w:rPr>
        <w:t>Process Purpose</w:t>
      </w:r>
    </w:p>
    <w:p>
      <w:pPr>
        <w:pStyle w:val="Normal"/>
        <w:spacing w:before="0" w:after="40"/>
        <w:rPr/>
      </w:pPr>
      <w:r>
        <w:rPr>
          <w:rFonts w:eastAsia="Arial" w:cs="Arial"/>
          <w:b/>
          <w:bCs/>
          <w:i w:val="false"/>
          <w:iCs w:val="false"/>
          <w:sz w:val="22"/>
          <w:szCs w:val="22"/>
        </w:rPr>
        <w:t>Q: What does the Engagement Closure process accomplish — what’s different in the world after this process runs compared to before it started?</w:t>
      </w:r>
    </w:p>
    <w:p>
      <w:pPr>
        <w:pStyle w:val="Normal"/>
        <w:spacing w:before="0" w:after="120"/>
        <w:rPr/>
      </w:pPr>
      <w:r>
        <w:rPr>
          <w:rFonts w:eastAsia="Arial" w:cs="Arial"/>
          <w:b w:val="false"/>
          <w:bCs w:val="false"/>
          <w:i w:val="false"/>
          <w:iCs w:val="false"/>
          <w:sz w:val="22"/>
          <w:szCs w:val="22"/>
        </w:rPr>
        <w:t>A: The goal of the close procedure is to document the results of the process to help with analytics and performance analysis.</w:t>
      </w:r>
    </w:p>
    <w:p>
      <w:pPr>
        <w:pStyle w:val="Normal"/>
        <w:spacing w:before="0" w:after="40"/>
        <w:rPr/>
      </w:pPr>
      <w:r>
        <w:rPr>
          <w:rFonts w:eastAsia="Arial" w:cs="Arial"/>
          <w:b/>
          <w:bCs/>
          <w:i w:val="false"/>
          <w:iCs w:val="false"/>
          <w:sz w:val="22"/>
          <w:szCs w:val="22"/>
        </w:rPr>
        <w:t>Q: When this process is done, the engagement has moved to Completed status and has a record of what was achieved?</w:t>
      </w:r>
    </w:p>
    <w:p>
      <w:pPr>
        <w:pStyle w:val="Normal"/>
        <w:spacing w:before="0" w:after="120"/>
        <w:rPr/>
      </w:pPr>
      <w:r>
        <w:rPr>
          <w:rFonts w:eastAsia="Arial" w:cs="Arial"/>
          <w:b w:val="false"/>
          <w:bCs w:val="false"/>
          <w:i w:val="false"/>
          <w:iCs w:val="false"/>
          <w:sz w:val="22"/>
          <w:szCs w:val="22"/>
        </w:rPr>
        <w:t>A: That is correct.</w:t>
      </w:r>
    </w:p>
    <w:p>
      <w:pPr>
        <w:pStyle w:val="Normal"/>
        <w:spacing w:before="0" w:after="40"/>
        <w:rPr/>
      </w:pPr>
      <w:r>
        <w:rPr>
          <w:rFonts w:eastAsia="Arial" w:cs="Arial"/>
          <w:b/>
          <w:bCs/>
          <w:i w:val="false"/>
          <w:iCs w:val="false"/>
          <w:sz w:val="22"/>
          <w:szCs w:val="22"/>
        </w:rPr>
        <w:t>Q: How often does this happen?</w:t>
      </w:r>
    </w:p>
    <w:p>
      <w:pPr>
        <w:pStyle w:val="Normal"/>
        <w:spacing w:before="0" w:after="120"/>
        <w:rPr/>
      </w:pPr>
      <w:r>
        <w:rPr>
          <w:rFonts w:eastAsia="Arial" w:cs="Arial"/>
          <w:b w:val="false"/>
          <w:bCs w:val="false"/>
          <w:i w:val="false"/>
          <w:iCs w:val="false"/>
          <w:sz w:val="22"/>
          <w:szCs w:val="22"/>
        </w:rPr>
        <w:t>A: Engagements can close frequently. Some engagements are long term (months) and others very short (2 weeks).</w:t>
      </w:r>
    </w:p>
    <w:p>
      <w:pPr>
        <w:pStyle w:val="Normal"/>
        <w:spacing w:before="0" w:after="40"/>
        <w:rPr/>
      </w:pPr>
      <w:r>
        <w:rPr>
          <w:rFonts w:eastAsia="Arial" w:cs="Arial"/>
          <w:b/>
          <w:bCs/>
          <w:i w:val="false"/>
          <w:iCs w:val="false"/>
          <w:sz w:val="22"/>
          <w:szCs w:val="22"/>
        </w:rPr>
        <w:t>Eligible Statuses for Closure</w:t>
      </w:r>
    </w:p>
    <w:p>
      <w:pPr>
        <w:pStyle w:val="Normal"/>
        <w:spacing w:before="0" w:after="40"/>
        <w:rPr/>
      </w:pPr>
      <w:r>
        <w:rPr>
          <w:rFonts w:eastAsia="Arial" w:cs="Arial"/>
          <w:b/>
          <w:bCs/>
          <w:i w:val="false"/>
          <w:iCs w:val="false"/>
          <w:sz w:val="22"/>
          <w:szCs w:val="22"/>
        </w:rPr>
        <w:t>Q: Could a closure be initiated from any point in the lifecycle?</w:t>
      </w:r>
    </w:p>
    <w:p>
      <w:pPr>
        <w:pStyle w:val="Normal"/>
        <w:spacing w:before="0" w:after="120"/>
        <w:rPr/>
      </w:pPr>
      <w:r>
        <w:rPr>
          <w:rFonts w:eastAsia="Arial" w:cs="Arial"/>
          <w:b w:val="false"/>
          <w:bCs w:val="false"/>
          <w:i w:val="false"/>
          <w:iCs w:val="false"/>
          <w:sz w:val="22"/>
          <w:szCs w:val="22"/>
        </w:rPr>
        <w:t>A: The engagement can be closed from any status except Submitted. If an engagement was never active, it could not have achieved any measurable goals or analytics.</w:t>
      </w:r>
    </w:p>
    <w:p>
      <w:pPr>
        <w:pStyle w:val="Normal"/>
        <w:spacing w:before="0" w:after="40"/>
        <w:rPr/>
      </w:pPr>
      <w:r>
        <w:rPr>
          <w:rFonts w:eastAsia="Arial" w:cs="Arial"/>
          <w:b/>
          <w:bCs/>
          <w:i w:val="false"/>
          <w:iCs w:val="false"/>
          <w:sz w:val="22"/>
          <w:szCs w:val="22"/>
        </w:rPr>
        <w:t>Q: Would MN-CLOSE ever be initiated on an engagement at Declined, Abandoned, or Completed status?</w:t>
      </w:r>
    </w:p>
    <w:p>
      <w:pPr>
        <w:pStyle w:val="Normal"/>
        <w:spacing w:before="0" w:after="120"/>
        <w:rPr/>
      </w:pPr>
      <w:r>
        <w:rPr>
          <w:rFonts w:eastAsia="Arial" w:cs="Arial"/>
          <w:b w:val="false"/>
          <w:bCs w:val="false"/>
          <w:i w:val="false"/>
          <w:iCs w:val="false"/>
          <w:sz w:val="22"/>
          <w:szCs w:val="22"/>
        </w:rPr>
        <w:t>A: No. Declined never was active, Abandoned means we are unable to close because we cannot get in touch with the client, and Completed is already completed.</w:t>
      </w:r>
    </w:p>
    <w:p>
      <w:pPr>
        <w:pStyle w:val="Normal"/>
        <w:spacing w:before="0" w:after="40"/>
        <w:rPr/>
      </w:pPr>
      <w:r>
        <w:rPr>
          <w:rFonts w:eastAsia="Arial" w:cs="Arial"/>
          <w:b/>
          <w:bCs/>
          <w:i w:val="false"/>
          <w:iCs w:val="false"/>
          <w:sz w:val="22"/>
          <w:szCs w:val="22"/>
        </w:rPr>
        <w:t>Q: What about Pending Acceptance and Assigned — those also never had active sessions?</w:t>
      </w:r>
    </w:p>
    <w:p>
      <w:pPr>
        <w:pStyle w:val="Normal"/>
        <w:spacing w:before="0" w:after="120"/>
        <w:rPr/>
      </w:pPr>
      <w:r>
        <w:rPr>
          <w:rFonts w:eastAsia="Arial" w:cs="Arial"/>
          <w:b w:val="false"/>
          <w:bCs w:val="false"/>
          <w:i w:val="false"/>
          <w:iCs w:val="false"/>
          <w:sz w:val="22"/>
          <w:szCs w:val="22"/>
        </w:rPr>
        <w:t>A: Correct. Only Active, On-Hold, Dormant, and Inactive can be closed.</w:t>
      </w:r>
    </w:p>
    <w:p>
      <w:pPr>
        <w:pStyle w:val="Normal"/>
        <w:spacing w:before="0" w:after="120"/>
        <w:rPr/>
      </w:pPr>
      <w:r>
        <w:rPr>
          <w:rFonts w:eastAsia="Arial" w:cs="Arial"/>
          <w:b/>
          <w:bCs/>
          <w:i w:val="false"/>
          <w:iCs w:val="false"/>
          <w:sz w:val="22"/>
          <w:szCs w:val="22"/>
        </w:rPr>
        <w:t xml:space="preserve">Decision: </w:t>
      </w:r>
      <w:r>
        <w:rPr>
          <w:rFonts w:eastAsia="Arial" w:cs="Arial"/>
          <w:b w:val="false"/>
          <w:bCs w:val="false"/>
          <w:i w:val="false"/>
          <w:iCs w:val="false"/>
          <w:sz w:val="22"/>
          <w:szCs w:val="22"/>
        </w:rPr>
        <w:t>Eligible statuses for closure are strictly Active, On-Hold, Dormant, and Inactive. All other statuses are excluded.</w:t>
      </w:r>
    </w:p>
    <w:p>
      <w:pPr>
        <w:pStyle w:val="Normal"/>
        <w:spacing w:before="0" w:after="40"/>
        <w:rPr/>
      </w:pPr>
      <w:r>
        <w:rPr>
          <w:rFonts w:eastAsia="Arial" w:cs="Arial"/>
          <w:b/>
          <w:bCs/>
          <w:i w:val="false"/>
          <w:iCs w:val="false"/>
          <w:sz w:val="22"/>
          <w:szCs w:val="22"/>
        </w:rPr>
        <w:t>Closure Initiation</w:t>
      </w:r>
    </w:p>
    <w:p>
      <w:pPr>
        <w:pStyle w:val="Normal"/>
        <w:spacing w:before="0" w:after="40"/>
        <w:rPr/>
      </w:pPr>
      <w:r>
        <w:rPr>
          <w:rFonts w:eastAsia="Arial" w:cs="Arial"/>
          <w:b/>
          <w:bCs/>
          <w:i w:val="false"/>
          <w:iCs w:val="false"/>
          <w:sz w:val="22"/>
          <w:szCs w:val="22"/>
        </w:rPr>
        <w:t>Q: Who initiates the closure?</w:t>
      </w:r>
    </w:p>
    <w:p>
      <w:pPr>
        <w:pStyle w:val="Normal"/>
        <w:spacing w:before="0" w:after="120"/>
        <w:rPr/>
      </w:pPr>
      <w:r>
        <w:rPr>
          <w:rFonts w:eastAsia="Arial" w:cs="Arial"/>
          <w:b w:val="false"/>
          <w:bCs w:val="false"/>
          <w:i w:val="false"/>
          <w:iCs w:val="false"/>
          <w:sz w:val="22"/>
          <w:szCs w:val="22"/>
        </w:rPr>
        <w:t>A: It is typically the mentor, but the Client Administrator could too.</w:t>
      </w:r>
    </w:p>
    <w:p>
      <w:pPr>
        <w:pStyle w:val="Normal"/>
        <w:spacing w:before="0" w:after="40"/>
        <w:rPr/>
      </w:pPr>
      <w:r>
        <w:rPr>
          <w:rFonts w:eastAsia="Arial" w:cs="Arial"/>
          <w:b/>
          <w:bCs/>
          <w:i w:val="false"/>
          <w:iCs w:val="false"/>
          <w:sz w:val="22"/>
          <w:szCs w:val="22"/>
        </w:rPr>
        <w:t>Q: How do they initiate it — multi-step process or simple status change?</w:t>
      </w:r>
    </w:p>
    <w:p>
      <w:pPr>
        <w:pStyle w:val="Normal"/>
        <w:spacing w:before="0" w:after="120"/>
        <w:rPr/>
      </w:pPr>
      <w:r>
        <w:rPr>
          <w:rFonts w:eastAsia="Arial" w:cs="Arial"/>
          <w:b w:val="false"/>
          <w:bCs w:val="false"/>
          <w:i w:val="false"/>
          <w:iCs w:val="false"/>
          <w:sz w:val="22"/>
          <w:szCs w:val="22"/>
        </w:rPr>
        <w:t>A: The user simply changes the status to Completed. However, there are a number of actions that should happen at that point.</w:t>
      </w:r>
    </w:p>
    <w:p>
      <w:pPr>
        <w:pStyle w:val="Normal"/>
        <w:spacing w:before="0" w:after="40"/>
        <w:rPr/>
      </w:pPr>
      <w:r>
        <w:rPr>
          <w:rFonts w:eastAsia="Arial" w:cs="Arial"/>
          <w:b/>
          <w:bCs/>
          <w:i w:val="false"/>
          <w:iCs w:val="false"/>
          <w:sz w:val="22"/>
          <w:szCs w:val="22"/>
        </w:rPr>
        <w:t>Actions at Closure</w:t>
      </w:r>
    </w:p>
    <w:p>
      <w:pPr>
        <w:pStyle w:val="Normal"/>
        <w:spacing w:before="0" w:after="40"/>
        <w:rPr/>
      </w:pPr>
      <w:r>
        <w:rPr>
          <w:rFonts w:eastAsia="Arial" w:cs="Arial"/>
          <w:b/>
          <w:bCs/>
          <w:i w:val="false"/>
          <w:iCs w:val="false"/>
          <w:sz w:val="22"/>
          <w:szCs w:val="22"/>
        </w:rPr>
        <w:t>Q: What happens after the status is changed to Completed?</w:t>
      </w:r>
    </w:p>
    <w:p>
      <w:pPr>
        <w:pStyle w:val="Normal"/>
        <w:spacing w:before="0" w:after="120"/>
        <w:rPr/>
      </w:pPr>
      <w:r>
        <w:rPr>
          <w:rFonts w:eastAsia="Arial" w:cs="Arial"/>
          <w:b w:val="false"/>
          <w:bCs w:val="false"/>
          <w:i w:val="false"/>
          <w:iCs w:val="false"/>
          <w:sz w:val="22"/>
          <w:szCs w:val="22"/>
        </w:rPr>
        <w:t>A: A Closed Engagement Survey should be sent to the primary client contact for feedback. A congratulations/thank-you email should be sent from the mentor/co-mentors. Some information should be collected and entered into the system about the results of the engagement.</w:t>
      </w:r>
    </w:p>
    <w:p>
      <w:pPr>
        <w:pStyle w:val="Normal"/>
        <w:spacing w:before="0" w:after="40"/>
        <w:rPr/>
      </w:pPr>
      <w:r>
        <w:rPr>
          <w:rFonts w:eastAsia="Arial" w:cs="Arial"/>
          <w:b/>
          <w:bCs/>
          <w:i w:val="false"/>
          <w:iCs w:val="false"/>
          <w:sz w:val="22"/>
          <w:szCs w:val="22"/>
        </w:rPr>
        <w:t>Q: Is the Closed Engagement Survey sent automatically?</w:t>
      </w:r>
    </w:p>
    <w:p>
      <w:pPr>
        <w:pStyle w:val="Normal"/>
        <w:spacing w:before="0" w:after="120"/>
        <w:rPr/>
      </w:pPr>
      <w:r>
        <w:rPr>
          <w:rFonts w:eastAsia="Arial" w:cs="Arial"/>
          <w:b w:val="false"/>
          <w:bCs w:val="false"/>
          <w:i w:val="false"/>
          <w:iCs w:val="false"/>
          <w:sz w:val="22"/>
          <w:szCs w:val="22"/>
        </w:rPr>
        <w:t>A: It should be sent automatically if possible.</w:t>
      </w:r>
    </w:p>
    <w:p>
      <w:pPr>
        <w:pStyle w:val="Normal"/>
        <w:spacing w:before="0" w:after="40"/>
        <w:rPr/>
      </w:pPr>
      <w:r>
        <w:rPr>
          <w:rFonts w:eastAsia="Arial" w:cs="Arial"/>
          <w:b/>
          <w:bCs/>
          <w:i w:val="false"/>
          <w:iCs w:val="false"/>
          <w:sz w:val="22"/>
          <w:szCs w:val="22"/>
        </w:rPr>
        <w:t>Closed Engagement Survey vs. MN-SURVEY</w:t>
      </w:r>
    </w:p>
    <w:p>
      <w:pPr>
        <w:pStyle w:val="Normal"/>
        <w:spacing w:before="0" w:after="40"/>
        <w:rPr/>
      </w:pPr>
      <w:r>
        <w:rPr>
          <w:rFonts w:eastAsia="Arial" w:cs="Arial"/>
          <w:b/>
          <w:bCs/>
          <w:i w:val="false"/>
          <w:iCs w:val="false"/>
          <w:sz w:val="22"/>
          <w:szCs w:val="22"/>
        </w:rPr>
        <w:t>Q: MN-ENGAGE referenced a separate Client Satisfaction Tracking process (MN-SURVEY) that triggers surveys at milestones. Is this Closed Engagement Survey the same thing?</w:t>
      </w:r>
    </w:p>
    <w:p>
      <w:pPr>
        <w:pStyle w:val="Normal"/>
        <w:spacing w:before="0" w:after="120"/>
        <w:rPr/>
      </w:pPr>
      <w:r>
        <w:rPr>
          <w:rFonts w:eastAsia="Arial" w:cs="Arial"/>
          <w:b w:val="false"/>
          <w:bCs w:val="false"/>
          <w:i w:val="false"/>
          <w:iCs w:val="false"/>
          <w:sz w:val="22"/>
          <w:szCs w:val="22"/>
        </w:rPr>
        <w:t>A: This is a specific survey about the completed engagement experience, versus the ongoing survey.</w:t>
      </w:r>
    </w:p>
    <w:p>
      <w:pPr>
        <w:pStyle w:val="Normal"/>
        <w:spacing w:before="0" w:after="120"/>
        <w:rPr/>
      </w:pPr>
      <w:r>
        <w:rPr>
          <w:rFonts w:eastAsia="Arial" w:cs="Arial"/>
          <w:b/>
          <w:bCs/>
          <w:i w:val="false"/>
          <w:iCs w:val="false"/>
          <w:sz w:val="22"/>
          <w:szCs w:val="22"/>
        </w:rPr>
        <w:t xml:space="preserve">Decision: </w:t>
      </w:r>
      <w:r>
        <w:rPr>
          <w:rFonts w:eastAsia="Arial" w:cs="Arial"/>
          <w:b w:val="false"/>
          <w:bCs w:val="false"/>
          <w:i w:val="false"/>
          <w:iCs w:val="false"/>
          <w:sz w:val="22"/>
          <w:szCs w:val="22"/>
        </w:rPr>
        <w:t>The Closed Engagement Survey is specific to MN-CLOSE and distinct from the periodic satisfaction surveys managed by MN-SURVEY.</w:t>
      </w:r>
    </w:p>
    <w:p>
      <w:pPr>
        <w:pStyle w:val="Normal"/>
        <w:spacing w:before="0" w:after="40"/>
        <w:rPr/>
      </w:pPr>
      <w:r>
        <w:rPr>
          <w:rFonts w:eastAsia="Arial" w:cs="Arial"/>
          <w:b/>
          <w:bCs/>
          <w:i w:val="false"/>
          <w:iCs w:val="false"/>
          <w:sz w:val="22"/>
          <w:szCs w:val="22"/>
        </w:rPr>
        <w:t>Thank-You Communication</w:t>
      </w:r>
    </w:p>
    <w:p>
      <w:pPr>
        <w:pStyle w:val="Normal"/>
        <w:spacing w:before="0" w:after="40"/>
        <w:rPr/>
      </w:pPr>
      <w:r>
        <w:rPr>
          <w:rFonts w:eastAsia="Arial" w:cs="Arial"/>
          <w:b/>
          <w:bCs/>
          <w:i w:val="false"/>
          <w:iCs w:val="false"/>
          <w:sz w:val="22"/>
          <w:szCs w:val="22"/>
        </w:rPr>
        <w:t>Q: Is the thank-you email system-drafted and mentor-reviewed, or fully manual?</w:t>
      </w:r>
    </w:p>
    <w:p>
      <w:pPr>
        <w:pStyle w:val="Normal"/>
        <w:spacing w:before="0" w:after="120"/>
        <w:rPr/>
      </w:pPr>
      <w:r>
        <w:rPr>
          <w:rFonts w:eastAsia="Arial" w:cs="Arial"/>
          <w:b w:val="false"/>
          <w:bCs w:val="false"/>
          <w:i w:val="false"/>
          <w:iCs w:val="false"/>
          <w:sz w:val="22"/>
          <w:szCs w:val="22"/>
        </w:rPr>
        <w:t>A: The system should have an email template, and the mentor should add some personal comments.</w:t>
      </w:r>
    </w:p>
    <w:p>
      <w:pPr>
        <w:pStyle w:val="Normal"/>
        <w:spacing w:before="0" w:after="40"/>
        <w:rPr/>
      </w:pPr>
      <w:r>
        <w:rPr>
          <w:rFonts w:eastAsia="Arial" w:cs="Arial"/>
          <w:b/>
          <w:bCs/>
          <w:i w:val="false"/>
          <w:iCs w:val="false"/>
          <w:sz w:val="22"/>
          <w:szCs w:val="22"/>
        </w:rPr>
        <w:t>Q: Who receives the thank-you email?</w:t>
      </w:r>
    </w:p>
    <w:p>
      <w:pPr>
        <w:pStyle w:val="Normal"/>
        <w:spacing w:before="0" w:after="120"/>
        <w:rPr/>
      </w:pPr>
      <w:r>
        <w:rPr>
          <w:rFonts w:eastAsia="Arial" w:cs="Arial"/>
          <w:b w:val="false"/>
          <w:bCs w:val="false"/>
          <w:i w:val="false"/>
          <w:iCs w:val="false"/>
          <w:sz w:val="22"/>
          <w:szCs w:val="22"/>
        </w:rPr>
        <w:t>A: The mentor should decide who to send emails to at closure.</w:t>
      </w:r>
    </w:p>
    <w:p>
      <w:pPr>
        <w:pStyle w:val="Normal"/>
        <w:spacing w:before="0" w:after="120"/>
        <w:rPr/>
      </w:pPr>
      <w:r>
        <w:rPr>
          <w:rFonts w:eastAsia="Arial" w:cs="Arial"/>
          <w:b/>
          <w:bCs/>
          <w:i w:val="false"/>
          <w:iCs w:val="false"/>
          <w:sz w:val="22"/>
          <w:szCs w:val="22"/>
        </w:rPr>
        <w:t xml:space="preserve">Decision: </w:t>
      </w:r>
      <w:r>
        <w:rPr>
          <w:rFonts w:eastAsia="Arial" w:cs="Arial"/>
          <w:b w:val="false"/>
          <w:bCs w:val="false"/>
          <w:i w:val="false"/>
          <w:iCs w:val="false"/>
          <w:sz w:val="22"/>
          <w:szCs w:val="22"/>
        </w:rPr>
        <w:t>System provides a configurable template; mentor adds personal comments and selects recipients at their discretion.</w:t>
      </w:r>
    </w:p>
    <w:p>
      <w:pPr>
        <w:pStyle w:val="Normal"/>
        <w:spacing w:before="0" w:after="40"/>
        <w:rPr/>
      </w:pPr>
      <w:r>
        <w:rPr>
          <w:rFonts w:eastAsia="Arial" w:cs="Arial"/>
          <w:b/>
          <w:bCs/>
          <w:i w:val="false"/>
          <w:iCs w:val="false"/>
          <w:sz w:val="22"/>
          <w:szCs w:val="22"/>
        </w:rPr>
        <w:t>Engagement Outcome Metrics</w:t>
      </w:r>
    </w:p>
    <w:p>
      <w:pPr>
        <w:pStyle w:val="Normal"/>
        <w:spacing w:before="0" w:after="40"/>
        <w:rPr/>
      </w:pPr>
      <w:r>
        <w:rPr>
          <w:rFonts w:eastAsia="Arial" w:cs="Arial"/>
          <w:b/>
          <w:bCs/>
          <w:i w:val="false"/>
          <w:iCs w:val="false"/>
          <w:sz w:val="22"/>
          <w:szCs w:val="22"/>
        </w:rPr>
        <w:t>Q: What kind of results information should be captured at closure?</w:t>
      </w:r>
    </w:p>
    <w:p>
      <w:pPr>
        <w:pStyle w:val="Normal"/>
        <w:spacing w:before="0" w:after="120"/>
        <w:rPr/>
      </w:pPr>
      <w:r>
        <w:rPr>
          <w:rFonts w:eastAsia="Arial" w:cs="Arial"/>
          <w:b w:val="false"/>
          <w:bCs w:val="false"/>
          <w:i w:val="false"/>
          <w:iCs w:val="false"/>
          <w:sz w:val="22"/>
          <w:szCs w:val="22"/>
        </w:rPr>
        <w:t>A: I have some metrics, but we should add a task to identify additional metrics to be tracked.</w:t>
      </w:r>
    </w:p>
    <w:p>
      <w:pPr>
        <w:pStyle w:val="Normal"/>
        <w:spacing w:before="0" w:after="40"/>
        <w:rPr/>
      </w:pPr>
      <w:r>
        <w:rPr>
          <w:rFonts w:eastAsia="Arial" w:cs="Arial"/>
          <w:b/>
          <w:bCs/>
          <w:i w:val="false"/>
          <w:iCs w:val="false"/>
          <w:sz w:val="22"/>
          <w:szCs w:val="22"/>
        </w:rPr>
        <w:t>Q: What metrics do you have in mind?</w:t>
      </w:r>
    </w:p>
    <w:p>
      <w:pPr>
        <w:pStyle w:val="Normal"/>
        <w:spacing w:before="0" w:after="120"/>
        <w:rPr/>
      </w:pPr>
      <w:r>
        <w:rPr>
          <w:rFonts w:eastAsia="Arial" w:cs="Arial"/>
          <w:b w:val="false"/>
          <w:bCs w:val="false"/>
          <w:i w:val="false"/>
          <w:iCs w:val="false"/>
          <w:sz w:val="22"/>
          <w:szCs w:val="22"/>
        </w:rPr>
        <w:t>A: Was a new business started as a result of the engagement. Was a new company location opened as a result of the engagement. Did the engagement result in a significant increase in revenue? How much as a percentage of starting revenue? Did the employment number increase significantly? How much as a percentage of starting employee count?</w:t>
      </w:r>
    </w:p>
    <w:p>
      <w:pPr>
        <w:pStyle w:val="Normal"/>
        <w:spacing w:before="0" w:after="40"/>
        <w:rPr/>
      </w:pPr>
      <w:r>
        <w:rPr>
          <w:rFonts w:eastAsia="Arial" w:cs="Arial"/>
          <w:b/>
          <w:bCs/>
          <w:i w:val="false"/>
          <w:iCs w:val="false"/>
          <w:sz w:val="22"/>
          <w:szCs w:val="22"/>
        </w:rPr>
        <w:t>Q: MN-ENGAGE already has New Business Started (MN-ENGAGE-DAT-032) on the Session entity. Should this move to the Engagement level?</w:t>
      </w:r>
    </w:p>
    <w:p>
      <w:pPr>
        <w:pStyle w:val="Normal"/>
        <w:spacing w:before="0" w:after="120"/>
        <w:rPr/>
      </w:pPr>
      <w:r>
        <w:rPr>
          <w:rFonts w:eastAsia="Arial" w:cs="Arial"/>
          <w:b w:val="false"/>
          <w:bCs w:val="false"/>
          <w:i w:val="false"/>
          <w:iCs w:val="false"/>
          <w:sz w:val="22"/>
          <w:szCs w:val="22"/>
        </w:rPr>
        <w:t>A: I don’t think it is important to track at the session.</w:t>
      </w:r>
    </w:p>
    <w:p>
      <w:pPr>
        <w:pStyle w:val="Normal"/>
        <w:spacing w:before="0" w:after="120"/>
        <w:rPr/>
      </w:pPr>
      <w:r>
        <w:rPr>
          <w:rFonts w:eastAsia="Arial" w:cs="Arial"/>
          <w:b/>
          <w:bCs/>
          <w:i w:val="false"/>
          <w:iCs w:val="false"/>
          <w:sz w:val="22"/>
          <w:szCs w:val="22"/>
        </w:rPr>
        <w:t xml:space="preserve">Decision: </w:t>
      </w:r>
      <w:r>
        <w:rPr>
          <w:rFonts w:eastAsia="Arial" w:cs="Arial"/>
          <w:b w:val="false"/>
          <w:bCs w:val="false"/>
          <w:i w:val="false"/>
          <w:iCs w:val="false"/>
          <w:sz w:val="22"/>
          <w:szCs w:val="22"/>
        </w:rPr>
        <w:t>New Business Started moves from the Session entity (MN-ENGAGE-DAT-032) to the Engagement entity. This is an update to MN-ENGAGE.</w:t>
      </w:r>
    </w:p>
    <w:p>
      <w:pPr>
        <w:pStyle w:val="Normal"/>
        <w:spacing w:before="0" w:after="40"/>
        <w:rPr/>
      </w:pPr>
      <w:r>
        <w:rPr>
          <w:rFonts w:eastAsia="Arial" w:cs="Arial"/>
          <w:b/>
          <w:bCs/>
          <w:i w:val="false"/>
          <w:iCs w:val="false"/>
          <w:sz w:val="22"/>
          <w:szCs w:val="22"/>
        </w:rPr>
        <w:t>Q: Should these outcome fields be available only at closure, or accessible throughout the engagement?</w:t>
      </w:r>
    </w:p>
    <w:p>
      <w:pPr>
        <w:pStyle w:val="Normal"/>
        <w:spacing w:before="0" w:after="120"/>
        <w:rPr/>
      </w:pPr>
      <w:r>
        <w:rPr>
          <w:rFonts w:eastAsia="Arial" w:cs="Arial"/>
          <w:b w:val="false"/>
          <w:bCs w:val="false"/>
          <w:i w:val="false"/>
          <w:iCs w:val="false"/>
          <w:sz w:val="22"/>
          <w:szCs w:val="22"/>
        </w:rPr>
        <w:t>A: We may do that for all survey questions. The mentor can answer them at any time, not just at closure.</w:t>
      </w:r>
    </w:p>
    <w:p>
      <w:pPr>
        <w:pStyle w:val="Normal"/>
        <w:spacing w:before="0" w:after="120"/>
        <w:rPr/>
      </w:pPr>
      <w:r>
        <w:rPr>
          <w:rFonts w:eastAsia="Arial" w:cs="Arial"/>
          <w:b/>
          <w:bCs/>
          <w:i w:val="false"/>
          <w:iCs w:val="false"/>
          <w:sz w:val="22"/>
          <w:szCs w:val="22"/>
        </w:rPr>
        <w:t xml:space="preserve">Decision: </w:t>
      </w:r>
      <w:r>
        <w:rPr>
          <w:rFonts w:eastAsia="Arial" w:cs="Arial"/>
          <w:b w:val="false"/>
          <w:bCs w:val="false"/>
          <w:i w:val="false"/>
          <w:iCs w:val="false"/>
          <w:sz w:val="22"/>
          <w:szCs w:val="22"/>
        </w:rPr>
        <w:t>Outcome fields live on the Engagement record and are accessible at any time. Closure serves as the final prompt for completion.</w:t>
      </w:r>
    </w:p>
    <w:p>
      <w:pPr>
        <w:pStyle w:val="Normal"/>
        <w:spacing w:before="0" w:after="40"/>
        <w:rPr/>
      </w:pPr>
      <w:r>
        <w:rPr>
          <w:rFonts w:eastAsia="Arial" w:cs="Arial"/>
          <w:b/>
          <w:bCs/>
          <w:i w:val="false"/>
          <w:iCs w:val="false"/>
          <w:sz w:val="22"/>
          <w:szCs w:val="22"/>
        </w:rPr>
        <w:t>Revenue and Employment Fields</w:t>
      </w:r>
    </w:p>
    <w:p>
      <w:pPr>
        <w:pStyle w:val="Normal"/>
        <w:spacing w:before="0" w:after="40"/>
        <w:rPr/>
      </w:pPr>
      <w:r>
        <w:rPr>
          <w:rFonts w:eastAsia="Arial" w:cs="Arial"/>
          <w:b/>
          <w:bCs/>
          <w:i w:val="false"/>
          <w:iCs w:val="false"/>
          <w:sz w:val="22"/>
          <w:szCs w:val="22"/>
        </w:rPr>
        <w:t>Q: For significant revenue increase — is it a yes/no plus a percentage, or just the percentage?</w:t>
      </w:r>
    </w:p>
    <w:p>
      <w:pPr>
        <w:pStyle w:val="Normal"/>
        <w:spacing w:before="0" w:after="120"/>
        <w:rPr/>
      </w:pPr>
      <w:r>
        <w:rPr>
          <w:rFonts w:eastAsia="Arial" w:cs="Arial"/>
          <w:b w:val="false"/>
          <w:bCs w:val="false"/>
          <w:i w:val="false"/>
          <w:iCs w:val="false"/>
          <w:sz w:val="22"/>
          <w:szCs w:val="22"/>
        </w:rPr>
        <w:t>A: Yes/No, and percentage.</w:t>
      </w:r>
    </w:p>
    <w:p>
      <w:pPr>
        <w:pStyle w:val="Normal"/>
        <w:spacing w:before="0" w:after="40"/>
        <w:rPr/>
      </w:pPr>
      <w:r>
        <w:rPr>
          <w:rFonts w:eastAsia="Arial" w:cs="Arial"/>
          <w:b/>
          <w:bCs/>
          <w:i w:val="false"/>
          <w:iCs w:val="false"/>
          <w:sz w:val="22"/>
          <w:szCs w:val="22"/>
        </w:rPr>
        <w:t>Q: Same pattern for employment increase?</w:t>
      </w:r>
    </w:p>
    <w:p>
      <w:pPr>
        <w:pStyle w:val="Normal"/>
        <w:spacing w:before="0" w:after="120"/>
        <w:rPr/>
      </w:pPr>
      <w:r>
        <w:rPr>
          <w:rFonts w:eastAsia="Arial" w:cs="Arial"/>
          <w:b w:val="false"/>
          <w:bCs w:val="false"/>
          <w:i w:val="false"/>
          <w:iCs w:val="false"/>
          <w:sz w:val="22"/>
          <w:szCs w:val="22"/>
        </w:rPr>
        <w:t>A: Yes.</w:t>
      </w:r>
    </w:p>
    <w:p>
      <w:pPr>
        <w:pStyle w:val="Normal"/>
        <w:spacing w:before="0" w:after="40"/>
        <w:rPr/>
      </w:pPr>
      <w:r>
        <w:rPr>
          <w:rFonts w:eastAsia="Arial" w:cs="Arial"/>
          <w:b/>
          <w:bCs/>
          <w:i w:val="false"/>
          <w:iCs w:val="false"/>
          <w:sz w:val="22"/>
          <w:szCs w:val="22"/>
        </w:rPr>
        <w:t>Q: Is the Revenue Increase Percentage field only relevant when Significant Revenue Increase is Yes?</w:t>
      </w:r>
    </w:p>
    <w:p>
      <w:pPr>
        <w:pStyle w:val="Normal"/>
        <w:spacing w:before="0" w:after="120"/>
        <w:rPr/>
      </w:pPr>
      <w:r>
        <w:rPr>
          <w:rFonts w:eastAsia="Arial" w:cs="Arial"/>
          <w:b w:val="false"/>
          <w:bCs w:val="false"/>
          <w:i w:val="false"/>
          <w:iCs w:val="false"/>
          <w:sz w:val="22"/>
          <w:szCs w:val="22"/>
        </w:rPr>
        <w:t>A: They could enter a percentage even if the answer is No.</w:t>
      </w:r>
    </w:p>
    <w:p>
      <w:pPr>
        <w:pStyle w:val="Normal"/>
        <w:spacing w:before="0" w:after="120"/>
        <w:rPr/>
      </w:pPr>
      <w:r>
        <w:rPr>
          <w:rFonts w:eastAsia="Arial" w:cs="Arial"/>
          <w:b/>
          <w:bCs/>
          <w:i w:val="false"/>
          <w:iCs w:val="false"/>
          <w:sz w:val="22"/>
          <w:szCs w:val="22"/>
        </w:rPr>
        <w:t xml:space="preserve">Decision: </w:t>
      </w:r>
      <w:r>
        <w:rPr>
          <w:rFonts w:eastAsia="Arial" w:cs="Arial"/>
          <w:b w:val="false"/>
          <w:bCs w:val="false"/>
          <w:i w:val="false"/>
          <w:iCs w:val="false"/>
          <w:sz w:val="22"/>
          <w:szCs w:val="22"/>
        </w:rPr>
        <w:t>Revenue and employment fields are independent — no conditional dependency between the yes/no and percentage fields.</w:t>
      </w:r>
    </w:p>
    <w:p>
      <w:pPr>
        <w:pStyle w:val="Normal"/>
        <w:spacing w:before="0" w:after="40"/>
        <w:rPr/>
      </w:pPr>
      <w:r>
        <w:rPr>
          <w:rFonts w:eastAsia="Arial" w:cs="Arial"/>
          <w:b/>
          <w:bCs/>
          <w:i w:val="false"/>
          <w:iCs w:val="false"/>
          <w:sz w:val="22"/>
          <w:szCs w:val="22"/>
        </w:rPr>
        <w:t>Outcome Data Enforcement</w:t>
      </w:r>
    </w:p>
    <w:p>
      <w:pPr>
        <w:pStyle w:val="Normal"/>
        <w:spacing w:before="0" w:after="40"/>
        <w:rPr/>
      </w:pPr>
      <w:r>
        <w:rPr>
          <w:rFonts w:eastAsia="Arial" w:cs="Arial"/>
          <w:b/>
          <w:bCs/>
          <w:i w:val="false"/>
          <w:iCs w:val="false"/>
          <w:sz w:val="22"/>
          <w:szCs w:val="22"/>
        </w:rPr>
        <w:t>Q: Should the system block closure until outcome data is filled in, or allow the mentor to skip it?</w:t>
      </w:r>
    </w:p>
    <w:p>
      <w:pPr>
        <w:pStyle w:val="Normal"/>
        <w:spacing w:before="0" w:after="120"/>
        <w:rPr/>
      </w:pPr>
      <w:r>
        <w:rPr>
          <w:rFonts w:eastAsia="Arial" w:cs="Arial"/>
          <w:b w:val="false"/>
          <w:bCs w:val="false"/>
          <w:i w:val="false"/>
          <w:iCs w:val="false"/>
          <w:sz w:val="22"/>
          <w:szCs w:val="22"/>
        </w:rPr>
        <w:t>A: Encouraged but not enforced.</w:t>
      </w:r>
    </w:p>
    <w:p>
      <w:pPr>
        <w:pStyle w:val="Normal"/>
        <w:spacing w:before="0" w:after="120"/>
        <w:rPr/>
      </w:pPr>
      <w:r>
        <w:rPr>
          <w:rFonts w:eastAsia="Arial" w:cs="Arial"/>
          <w:b/>
          <w:bCs/>
          <w:i w:val="false"/>
          <w:iCs w:val="false"/>
          <w:sz w:val="22"/>
          <w:szCs w:val="22"/>
        </w:rPr>
        <w:t xml:space="preserve">Decision: </w:t>
      </w:r>
      <w:r>
        <w:rPr>
          <w:rFonts w:eastAsia="Arial" w:cs="Arial"/>
          <w:b w:val="false"/>
          <w:bCs w:val="false"/>
          <w:i w:val="false"/>
          <w:iCs w:val="false"/>
          <w:sz w:val="22"/>
          <w:szCs w:val="22"/>
        </w:rPr>
        <w:t>Outcome fields are optional at closure. The system presents them for review but does not prevent closure if they are incomplete.</w:t>
      </w:r>
    </w:p>
    <w:p>
      <w:pPr>
        <w:pStyle w:val="Normal"/>
        <w:spacing w:before="0" w:after="40"/>
        <w:rPr/>
      </w:pPr>
      <w:r>
        <w:rPr>
          <w:rFonts w:eastAsia="Arial" w:cs="Arial"/>
          <w:b/>
          <w:bCs/>
          <w:i w:val="false"/>
          <w:iCs w:val="false"/>
          <w:sz w:val="22"/>
          <w:szCs w:val="22"/>
        </w:rPr>
        <w:t>Close Reason Values</w:t>
      </w:r>
    </w:p>
    <w:p>
      <w:pPr>
        <w:pStyle w:val="Normal"/>
        <w:spacing w:before="0" w:after="40"/>
        <w:rPr/>
      </w:pPr>
      <w:r>
        <w:rPr>
          <w:rFonts w:eastAsia="Arial" w:cs="Arial"/>
          <w:b/>
          <w:bCs/>
          <w:i w:val="false"/>
          <w:iCs w:val="false"/>
          <w:sz w:val="22"/>
          <w:szCs w:val="22"/>
        </w:rPr>
        <w:t>Q: Are Goals Achieved, Client Withdrew, and Other the complete list for human-initiated closures?</w:t>
      </w:r>
    </w:p>
    <w:p>
      <w:pPr>
        <w:pStyle w:val="Normal"/>
        <w:spacing w:before="0" w:after="120"/>
        <w:rPr/>
      </w:pPr>
      <w:r>
        <w:rPr>
          <w:rFonts w:eastAsia="Arial" w:cs="Arial"/>
          <w:b w:val="false"/>
          <w:bCs w:val="false"/>
          <w:i w:val="false"/>
          <w:iCs w:val="false"/>
          <w:sz w:val="22"/>
          <w:szCs w:val="22"/>
        </w:rPr>
        <w:t>A: There may be additional ones. The ones we have are the most used.</w:t>
      </w:r>
    </w:p>
    <w:p>
      <w:pPr>
        <w:pStyle w:val="Normal"/>
        <w:spacing w:before="0" w:after="120"/>
        <w:rPr/>
      </w:pPr>
      <w:r>
        <w:rPr>
          <w:rFonts w:eastAsia="Arial" w:cs="Arial"/>
          <w:b/>
          <w:bCs/>
          <w:i w:val="false"/>
          <w:iCs w:val="false"/>
          <w:sz w:val="22"/>
          <w:szCs w:val="22"/>
        </w:rPr>
        <w:t xml:space="preserve">Decision: </w:t>
      </w:r>
      <w:r>
        <w:rPr>
          <w:rFonts w:eastAsia="Arial" w:cs="Arial"/>
          <w:b w:val="false"/>
          <w:bCs w:val="false"/>
          <w:i w:val="false"/>
          <w:iCs w:val="false"/>
          <w:sz w:val="22"/>
          <w:szCs w:val="22"/>
        </w:rPr>
        <w:t>Current values retained as a starting point. Complete list marked as TBD (MN-CLOSE-ISS-001).</w:t>
      </w:r>
    </w:p>
    <w:p>
      <w:pPr>
        <w:pStyle w:val="Normal"/>
        <w:spacing w:before="0" w:after="40"/>
        <w:rPr/>
      </w:pPr>
      <w:r>
        <w:rPr>
          <w:rFonts w:eastAsia="Arial" w:cs="Arial"/>
          <w:b/>
          <w:bCs/>
          <w:i w:val="false"/>
          <w:iCs w:val="false"/>
          <w:sz w:val="22"/>
          <w:szCs w:val="22"/>
        </w:rPr>
        <w:t>Q: Is Close Reason required at closure?</w:t>
      </w:r>
    </w:p>
    <w:p>
      <w:pPr>
        <w:pStyle w:val="Normal"/>
        <w:spacing w:before="0" w:after="120"/>
        <w:rPr/>
      </w:pPr>
      <w:r>
        <w:rPr>
          <w:rFonts w:eastAsia="Arial" w:cs="Arial"/>
          <w:b w:val="false"/>
          <w:bCs w:val="false"/>
          <w:i w:val="false"/>
          <w:iCs w:val="false"/>
          <w:sz w:val="22"/>
          <w:szCs w:val="22"/>
        </w:rPr>
        <w:t>A: Yes.</w:t>
      </w:r>
    </w:p>
    <w:p>
      <w:pPr>
        <w:pStyle w:val="Normal"/>
        <w:spacing w:before="0" w:after="40"/>
        <w:rPr/>
      </w:pPr>
      <w:r>
        <w:rPr>
          <w:rFonts w:eastAsia="Arial" w:cs="Arial"/>
          <w:b/>
          <w:bCs/>
          <w:i w:val="false"/>
          <w:iCs w:val="false"/>
          <w:sz w:val="22"/>
          <w:szCs w:val="22"/>
        </w:rPr>
        <w:t>Q: Is Close Date system-populated automatically?</w:t>
      </w:r>
    </w:p>
    <w:p>
      <w:pPr>
        <w:pStyle w:val="Normal"/>
        <w:spacing w:before="0" w:after="120"/>
        <w:rPr/>
      </w:pPr>
      <w:r>
        <w:rPr>
          <w:rFonts w:eastAsia="Arial" w:cs="Arial"/>
          <w:b w:val="false"/>
          <w:bCs w:val="false"/>
          <w:i w:val="false"/>
          <w:iCs w:val="false"/>
          <w:sz w:val="22"/>
          <w:szCs w:val="22"/>
        </w:rPr>
        <w:t>A: Yes, automatically set.</w:t>
      </w:r>
    </w:p>
    <w:p>
      <w:pPr>
        <w:pStyle w:val="Normal"/>
        <w:spacing w:before="0" w:after="40"/>
        <w:rPr/>
      </w:pPr>
      <w:r>
        <w:rPr>
          <w:rFonts w:eastAsia="Arial" w:cs="Arial"/>
          <w:b/>
          <w:bCs/>
          <w:i w:val="false"/>
          <w:iCs w:val="false"/>
          <w:sz w:val="22"/>
          <w:szCs w:val="22"/>
        </w:rPr>
        <w:t>Remaining Scheduled Sessions</w:t>
      </w:r>
    </w:p>
    <w:p>
      <w:pPr>
        <w:pStyle w:val="Normal"/>
        <w:spacing w:before="0" w:after="40"/>
        <w:rPr/>
      </w:pPr>
      <w:r>
        <w:rPr>
          <w:rFonts w:eastAsia="Arial" w:cs="Arial"/>
          <w:b/>
          <w:bCs/>
          <w:i w:val="false"/>
          <w:iCs w:val="false"/>
          <w:sz w:val="22"/>
          <w:szCs w:val="22"/>
        </w:rPr>
        <w:t>Q: What happens to remaining Scheduled sessions when an engagement is closed?</w:t>
      </w:r>
    </w:p>
    <w:p>
      <w:pPr>
        <w:pStyle w:val="Normal"/>
        <w:spacing w:before="0" w:after="120"/>
        <w:rPr/>
      </w:pPr>
      <w:r>
        <w:rPr>
          <w:rFonts w:eastAsia="Arial" w:cs="Arial"/>
          <w:b w:val="false"/>
          <w:bCs w:val="false"/>
          <w:i w:val="false"/>
          <w:iCs w:val="false"/>
          <w:sz w:val="22"/>
          <w:szCs w:val="22"/>
        </w:rPr>
        <w:t>A: Left as is. There may be some reason they are planning to meet in the future. If not, the mentor can manually edit the session to change the status.</w:t>
      </w:r>
    </w:p>
    <w:p>
      <w:pPr>
        <w:pStyle w:val="Normal"/>
        <w:spacing w:before="0" w:after="120"/>
        <w:rPr/>
      </w:pPr>
      <w:r>
        <w:rPr>
          <w:rFonts w:eastAsia="Arial" w:cs="Arial"/>
          <w:b/>
          <w:bCs/>
          <w:i w:val="false"/>
          <w:iCs w:val="false"/>
          <w:sz w:val="22"/>
          <w:szCs w:val="22"/>
        </w:rPr>
        <w:t xml:space="preserve">Decision: </w:t>
      </w:r>
      <w:r>
        <w:rPr>
          <w:rFonts w:eastAsia="Arial" w:cs="Arial"/>
          <w:b w:val="false"/>
          <w:bCs w:val="false"/>
          <w:i w:val="false"/>
          <w:iCs w:val="false"/>
          <w:sz w:val="22"/>
          <w:szCs w:val="22"/>
        </w:rPr>
        <w:t>No automatic session cancellation at closure. Mentor handles remaining sessions at their discretion.</w:t>
      </w:r>
    </w:p>
    <w:p>
      <w:pPr>
        <w:pStyle w:val="Normal"/>
        <w:spacing w:before="0" w:after="40"/>
        <w:rPr/>
      </w:pPr>
      <w:r>
        <w:rPr>
          <w:rFonts w:eastAsia="Arial" w:cs="Arial"/>
          <w:b/>
          <w:bCs/>
          <w:i w:val="false"/>
          <w:iCs w:val="false"/>
          <w:sz w:val="22"/>
          <w:szCs w:val="22"/>
        </w:rPr>
        <w:t>Approval Requirements</w:t>
      </w:r>
    </w:p>
    <w:p>
      <w:pPr>
        <w:pStyle w:val="Normal"/>
        <w:spacing w:before="0" w:after="40"/>
        <w:rPr/>
      </w:pPr>
      <w:r>
        <w:rPr>
          <w:rFonts w:eastAsia="Arial" w:cs="Arial"/>
          <w:b/>
          <w:bCs/>
          <w:i w:val="false"/>
          <w:iCs w:val="false"/>
          <w:sz w:val="22"/>
          <w:szCs w:val="22"/>
        </w:rPr>
        <w:t>Q: Does closing an engagement require any approval?</w:t>
      </w:r>
    </w:p>
    <w:p>
      <w:pPr>
        <w:pStyle w:val="Normal"/>
        <w:spacing w:before="0" w:after="120"/>
        <w:rPr/>
      </w:pPr>
      <w:r>
        <w:rPr>
          <w:rFonts w:eastAsia="Arial" w:cs="Arial"/>
          <w:b w:val="false"/>
          <w:bCs w:val="false"/>
          <w:i w:val="false"/>
          <w:iCs w:val="false"/>
          <w:sz w:val="22"/>
          <w:szCs w:val="22"/>
        </w:rPr>
        <w:t>A: No approvals.</w:t>
      </w:r>
    </w:p>
    <w:p>
      <w:pPr>
        <w:pStyle w:val="Normal"/>
        <w:spacing w:before="0" w:after="40"/>
        <w:rPr/>
      </w:pPr>
      <w:r>
        <w:rPr>
          <w:rFonts w:eastAsia="Arial" w:cs="Arial"/>
          <w:b/>
          <w:bCs/>
          <w:i w:val="false"/>
          <w:iCs w:val="false"/>
          <w:sz w:val="22"/>
          <w:szCs w:val="22"/>
        </w:rPr>
        <w:t>Reopening Closed Engagements</w:t>
      </w:r>
    </w:p>
    <w:p>
      <w:pPr>
        <w:pStyle w:val="Normal"/>
        <w:spacing w:before="0" w:after="40"/>
        <w:rPr/>
      </w:pPr>
      <w:r>
        <w:rPr>
          <w:rFonts w:eastAsia="Arial" w:cs="Arial"/>
          <w:b/>
          <w:bCs/>
          <w:i w:val="false"/>
          <w:iCs w:val="false"/>
          <w:sz w:val="22"/>
          <w:szCs w:val="22"/>
        </w:rPr>
        <w:t>Q: Can a closed engagement be reopened?</w:t>
      </w:r>
    </w:p>
    <w:p>
      <w:pPr>
        <w:pStyle w:val="Normal"/>
        <w:spacing w:before="0" w:after="120"/>
        <w:rPr/>
      </w:pPr>
      <w:r>
        <w:rPr>
          <w:rFonts w:eastAsia="Arial" w:cs="Arial"/>
          <w:b w:val="false"/>
          <w:bCs w:val="false"/>
          <w:i w:val="false"/>
          <w:iCs w:val="false"/>
          <w:sz w:val="22"/>
          <w:szCs w:val="22"/>
        </w:rPr>
        <w:t>A: It is possible. Just continues on as an active engagement. Mentor discretion.</w:t>
      </w:r>
    </w:p>
    <w:p>
      <w:pPr>
        <w:pStyle w:val="Normal"/>
        <w:spacing w:before="0" w:after="40"/>
        <w:rPr/>
      </w:pPr>
      <w:r>
        <w:rPr>
          <w:rFonts w:eastAsia="Arial" w:cs="Arial"/>
          <w:b/>
          <w:bCs/>
          <w:i w:val="false"/>
          <w:iCs w:val="false"/>
          <w:sz w:val="22"/>
          <w:szCs w:val="22"/>
        </w:rPr>
        <w:t>Q: When reopened, is the outcome data and Close Reason cleared?</w:t>
      </w:r>
    </w:p>
    <w:p>
      <w:pPr>
        <w:pStyle w:val="Normal"/>
        <w:spacing w:before="0" w:after="120"/>
        <w:rPr/>
      </w:pPr>
      <w:r>
        <w:rPr>
          <w:rFonts w:eastAsia="Arial" w:cs="Arial"/>
          <w:b w:val="false"/>
          <w:bCs w:val="false"/>
          <w:i w:val="false"/>
          <w:iCs w:val="false"/>
          <w:sz w:val="22"/>
          <w:szCs w:val="22"/>
        </w:rPr>
        <w:t>A: The data integrity side says it should remain the same for historical accuracy. It’s a headache, but we leave it up to the mentor and assume it will not happen often.</w:t>
      </w:r>
    </w:p>
    <w:p>
      <w:pPr>
        <w:pStyle w:val="Normal"/>
        <w:spacing w:before="0" w:after="120"/>
        <w:rPr/>
      </w:pPr>
      <w:r>
        <w:rPr>
          <w:rFonts w:eastAsia="Arial" w:cs="Arial"/>
          <w:b/>
          <w:bCs/>
          <w:i w:val="false"/>
          <w:iCs w:val="false"/>
          <w:sz w:val="22"/>
          <w:szCs w:val="22"/>
        </w:rPr>
        <w:t xml:space="preserve">Decision: </w:t>
      </w:r>
      <w:r>
        <w:rPr>
          <w:rFonts w:eastAsia="Arial" w:cs="Arial"/>
          <w:b w:val="false"/>
          <w:bCs w:val="false"/>
          <w:i w:val="false"/>
          <w:iCs w:val="false"/>
          <w:sz w:val="22"/>
          <w:szCs w:val="22"/>
        </w:rPr>
        <w:t>Reopening retains all closure data. Mentor may manually update if needed. Expected to be rare.</w:t>
      </w:r>
    </w:p>
    <w:p>
      <w:pPr>
        <w:pStyle w:val="Normal"/>
        <w:spacing w:before="0" w:after="40"/>
        <w:rPr/>
      </w:pPr>
      <w:r>
        <w:rPr>
          <w:rFonts w:eastAsia="Arial" w:cs="Arial"/>
          <w:b/>
          <w:bCs/>
          <w:i w:val="false"/>
          <w:iCs w:val="false"/>
          <w:sz w:val="22"/>
          <w:szCs w:val="22"/>
        </w:rPr>
        <w:t>Notifications</w:t>
      </w:r>
    </w:p>
    <w:p>
      <w:pPr>
        <w:pStyle w:val="Normal"/>
        <w:spacing w:before="0" w:after="40"/>
        <w:rPr/>
      </w:pPr>
      <w:r>
        <w:rPr>
          <w:rFonts w:eastAsia="Arial" w:cs="Arial"/>
          <w:b/>
          <w:bCs/>
          <w:i w:val="false"/>
          <w:iCs w:val="false"/>
          <w:sz w:val="22"/>
          <w:szCs w:val="22"/>
        </w:rPr>
        <w:t>Q: Is the Client Administrator notified when an engagement is closed?</w:t>
      </w:r>
    </w:p>
    <w:p>
      <w:pPr>
        <w:pStyle w:val="Normal"/>
        <w:spacing w:before="0" w:after="120"/>
        <w:rPr/>
      </w:pPr>
      <w:r>
        <w:rPr>
          <w:rFonts w:eastAsia="Arial" w:cs="Arial"/>
          <w:b w:val="false"/>
          <w:bCs w:val="false"/>
          <w:i w:val="false"/>
          <w:iCs w:val="false"/>
          <w:sz w:val="22"/>
          <w:szCs w:val="22"/>
        </w:rPr>
        <w:t>A: No. They have enough email in their inbox.</w:t>
      </w:r>
    </w:p>
    <w:p>
      <w:pPr>
        <w:pStyle w:val="Normal"/>
        <w:spacing w:before="0" w:after="120"/>
        <w:rPr/>
      </w:pPr>
      <w:r>
        <w:rPr>
          <w:rFonts w:eastAsia="Arial" w:cs="Arial"/>
          <w:b/>
          <w:bCs/>
          <w:i w:val="false"/>
          <w:iCs w:val="false"/>
          <w:sz w:val="22"/>
          <w:szCs w:val="22"/>
        </w:rPr>
        <w:t xml:space="preserve">Decision: </w:t>
      </w:r>
      <w:r>
        <w:rPr>
          <w:rFonts w:eastAsia="Arial" w:cs="Arial"/>
          <w:b w:val="false"/>
          <w:bCs w:val="false"/>
          <w:i w:val="false"/>
          <w:iCs w:val="false"/>
          <w:sz w:val="22"/>
          <w:szCs w:val="22"/>
        </w:rPr>
        <w:t>No administrative notifications at closure. Client Administrator can monitor closures through existing system views and dashboards.</w:t>
      </w:r>
    </w:p>
    <w:p>
      <w:pPr>
        <w:pStyle w:val="Normal"/>
        <w:spacing w:before="0" w:after="40"/>
        <w:rPr/>
      </w:pPr>
      <w:r>
        <w:rPr>
          <w:rFonts w:eastAsia="Arial" w:cs="Arial"/>
          <w:b/>
          <w:bCs/>
          <w:i w:val="false"/>
          <w:iCs w:val="false"/>
          <w:sz w:val="22"/>
          <w:szCs w:val="22"/>
        </w:rPr>
        <w:t>Mentor Incapacitation</w:t>
      </w:r>
    </w:p>
    <w:p>
      <w:pPr>
        <w:pStyle w:val="Normal"/>
        <w:spacing w:before="0" w:after="40"/>
        <w:rPr/>
      </w:pPr>
      <w:r>
        <w:rPr>
          <w:rFonts w:eastAsia="Arial" w:cs="Arial"/>
          <w:b/>
          <w:bCs/>
          <w:i w:val="false"/>
          <w:iCs w:val="false"/>
          <w:sz w:val="22"/>
          <w:szCs w:val="22"/>
        </w:rPr>
        <w:t>Q: If the Client Administrator closes an engagement on behalf of an incapacitated mentor, is the workflow different?</w:t>
      </w:r>
    </w:p>
    <w:p>
      <w:pPr>
        <w:pStyle w:val="Normal"/>
        <w:spacing w:before="0" w:after="120"/>
        <w:rPr/>
      </w:pPr>
      <w:r>
        <w:rPr>
          <w:rFonts w:eastAsia="Arial" w:cs="Arial"/>
          <w:b w:val="false"/>
          <w:bCs w:val="false"/>
          <w:i w:val="false"/>
          <w:iCs w:val="false"/>
          <w:sz w:val="22"/>
          <w:szCs w:val="22"/>
        </w:rPr>
        <w:t>A: No difference.</w:t>
      </w:r>
    </w:p>
    <w:p>
      <w:pPr>
        <w:pStyle w:val="Normal"/>
        <w:spacing w:before="0" w:after="120"/>
        <w:rPr/>
      </w:pPr>
      <w:r>
        <w:rPr>
          <w:rFonts w:eastAsia="Arial" w:cs="Arial"/>
          <w:b/>
          <w:bCs/>
          <w:i w:val="false"/>
          <w:iCs w:val="false"/>
          <w:sz w:val="22"/>
          <w:szCs w:val="22"/>
        </w:rPr>
        <w:t xml:space="preserve">Decision: </w:t>
      </w:r>
      <w:r>
        <w:rPr>
          <w:rFonts w:eastAsia="Arial" w:cs="Arial"/>
          <w:b w:val="false"/>
          <w:bCs w:val="false"/>
          <w:i w:val="false"/>
          <w:iCs w:val="false"/>
          <w:sz w:val="22"/>
          <w:szCs w:val="22"/>
        </w:rPr>
        <w:t>Same closure workflow regardless of who initiates it.</w:t>
      </w:r>
    </w:p>
    <w:p>
      <w:pPr>
        <w:pStyle w:val="Normal"/>
        <w:spacing w:before="0" w:after="40"/>
        <w:rPr/>
      </w:pPr>
      <w:r>
        <w:rPr>
          <w:rFonts w:eastAsia="Arial" w:cs="Arial"/>
          <w:b/>
          <w:bCs/>
          <w:i w:val="false"/>
          <w:iCs w:val="false"/>
          <w:sz w:val="22"/>
          <w:szCs w:val="22"/>
        </w:rPr>
        <w:t>Survey Response Tracking</w:t>
      </w:r>
    </w:p>
    <w:p>
      <w:pPr>
        <w:pStyle w:val="Normal"/>
        <w:spacing w:before="0" w:after="40"/>
        <w:rPr/>
      </w:pPr>
      <w:r>
        <w:rPr>
          <w:rFonts w:eastAsia="Arial" w:cs="Arial"/>
          <w:b/>
          <w:bCs/>
          <w:i w:val="false"/>
          <w:iCs w:val="false"/>
          <w:sz w:val="22"/>
          <w:szCs w:val="22"/>
        </w:rPr>
        <w:t>Q: Are the Closed Engagement Survey responses tracked in the CRM or handled by an external tool?</w:t>
      </w:r>
    </w:p>
    <w:p>
      <w:pPr>
        <w:pStyle w:val="Normal"/>
        <w:spacing w:before="0" w:after="120"/>
        <w:rPr/>
      </w:pPr>
      <w:r>
        <w:rPr>
          <w:rFonts w:eastAsia="Arial" w:cs="Arial"/>
          <w:b w:val="false"/>
          <w:bCs w:val="false"/>
          <w:i w:val="false"/>
          <w:iCs w:val="false"/>
          <w:sz w:val="22"/>
          <w:szCs w:val="22"/>
        </w:rPr>
        <w:t>A: TBD.</w:t>
      </w:r>
    </w:p>
    <w:p>
      <w:pPr>
        <w:pStyle w:val="Normal"/>
        <w:spacing w:before="0" w:after="120"/>
        <w:rPr/>
      </w:pPr>
      <w:r>
        <w:rPr>
          <w:rFonts w:eastAsia="Arial" w:cs="Arial"/>
          <w:b/>
          <w:bCs/>
          <w:i w:val="false"/>
          <w:iCs w:val="false"/>
          <w:sz w:val="22"/>
          <w:szCs w:val="22"/>
        </w:rPr>
        <w:t xml:space="preserve">Decision: </w:t>
      </w:r>
      <w:r>
        <w:rPr>
          <w:rFonts w:eastAsia="Arial" w:cs="Arial"/>
          <w:b w:val="false"/>
          <w:bCs w:val="false"/>
          <w:i w:val="false"/>
          <w:iCs w:val="false"/>
          <w:sz w:val="22"/>
          <w:szCs w:val="22"/>
        </w:rPr>
        <w:t>Captured as MN-CLOSE-ISS-003.</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1F3864"/>
      </w:pBdr>
      <w:spacing w:before="0" w:after="0"/>
      <w:rPr/>
    </w:pPr>
    <w:r>
      <w:rPr>
        <w:rFonts w:eastAsia="Arial" w:cs="Arial"/>
        <w:b w:val="false"/>
        <w:bCs w:val="false"/>
        <w:i w:val="false"/>
        <w:iCs w:val="false"/>
        <w:color w:val="999999"/>
        <w:sz w:val="16"/>
        <w:szCs w:val="16"/>
      </w:rPr>
      <w:t>Process Document — Mentoring Domain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1F3864"/>
      </w:pBdr>
      <w:spacing w:before="0" w:after="0"/>
      <w:rPr/>
    </w:pPr>
    <w:r>
      <w:rPr>
        <w:rFonts w:eastAsia="Arial" w:cs="Arial"/>
        <w:b w:val="false"/>
        <w:bCs w:val="false"/>
        <w:i w:val="false"/>
        <w:iCs w:val="false"/>
        <w:color w:val="999999"/>
        <w:sz w:val="16"/>
        <w:szCs w:val="16"/>
      </w:rPr>
      <w:t>Process Document — Mentoring Domain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3864"/>
      </w:pBdr>
      <w:spacing w:before="0" w:after="0"/>
      <w:rPr/>
    </w:pPr>
    <w:r>
      <w:rPr>
        <w:rFonts w:eastAsia="Arial" w:cs="Arial"/>
        <w:b w:val="false"/>
        <w:bCs w:val="false"/>
        <w:i w:val="false"/>
        <w:iCs w:val="false"/>
        <w:color w:val="666666"/>
        <w:sz w:val="18"/>
        <w:szCs w:val="18"/>
      </w:rPr>
      <w:t>Cleveland Business Mentors</w:t>
    </w:r>
    <w:r>
      <w:rPr/>
      <w:tab/>
    </w:r>
    <w:r>
      <w:rPr>
        <w:rFonts w:eastAsia="Arial" w:cs="Arial"/>
        <w:b w:val="false"/>
        <w:bCs w:val="false"/>
        <w:i w:val="false"/>
        <w:iCs w:val="false"/>
        <w:color w:val="666666"/>
        <w:sz w:val="18"/>
        <w:szCs w:val="18"/>
      </w:rPr>
      <w:t>Engagement Closure (MN-CLOSE)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3864"/>
      </w:pBdr>
      <w:spacing w:before="0" w:after="0"/>
      <w:rPr/>
    </w:pPr>
    <w:r>
      <w:rPr>
        <w:rFonts w:eastAsia="Arial" w:cs="Arial"/>
        <w:b w:val="false"/>
        <w:bCs w:val="false"/>
        <w:i w:val="false"/>
        <w:iCs w:val="false"/>
        <w:color w:val="666666"/>
        <w:sz w:val="18"/>
        <w:szCs w:val="18"/>
      </w:rPr>
      <w:t>Cleveland Business Mentors</w:t>
    </w:r>
    <w:r>
      <w:rPr/>
      <w:tab/>
    </w:r>
    <w:r>
      <w:rPr>
        <w:rFonts w:eastAsia="Arial" w:cs="Arial"/>
        <w:b w:val="false"/>
        <w:bCs w:val="false"/>
        <w:i w:val="false"/>
        <w:iCs w:val="false"/>
        <w:color w:val="666666"/>
        <w:sz w:val="18"/>
        <w:szCs w:val="18"/>
      </w:rPr>
      <w:t>Engagement Closure (MN-CLOSE)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F3864"/>
      <w:sz w:val="32"/>
      <w:szCs w:val="32"/>
    </w:rPr>
  </w:style>
  <w:style w:type="paragraph" w:styleId="Heading2">
    <w:name w:val="Heading 2"/>
    <w:basedOn w:val="Heading"/>
    <w:qFormat/>
    <w:pPr>
      <w:spacing w:before="240" w:after="120"/>
      <w:outlineLvl w:val="1"/>
    </w:pPr>
    <w:rPr>
      <w:rFonts w:ascii="Arial" w:hAnsi="Arial" w:eastAsia="Arial" w:cs="Arial"/>
      <w:b/>
      <w:bCs/>
      <w:color w:val="1F3864"/>
      <w:sz w:val="28"/>
      <w:szCs w:val="28"/>
    </w:rPr>
  </w:style>
  <w:style w:type="paragraph" w:styleId="Heading3">
    <w:name w:val="Heading 3"/>
    <w:basedOn w:val="Heading"/>
    <w:qFormat/>
    <w:pPr>
      <w:spacing w:before="200" w:after="100"/>
      <w:outlineLvl w:val="2"/>
    </w:pPr>
    <w:rPr>
      <w:rFonts w:ascii="Arial" w:hAnsi="Arial" w:eastAsia="Arial" w:cs="Arial"/>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12</Pages>
  <Words>3229</Words>
  <Characters>18925</Characters>
  <CharactersWithSpaces>21838</CharactersWithSpaces>
  <Paragraphs>357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2026-04-01T03:04:05Z</dcterms:created>
  <dc:creator>Un-named</dc:creator>
  <dc:description/>
  <dc:language>en-US</dc:language>
  <cp:lastModifiedBy/>
  <dcterms:modified xsi:type="dcterms:W3CDTF">2026-04-06T12:08:55Z</dcterms:modified>
  <cp:revision>2</cp:revision>
  <dc:subject/>
  <dc:title/>
</cp:coreProperties>
</file>