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2.2</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04-05-26 18:00</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of the new submission using the New Client Submission email template.</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New Client Submissions filter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and as an Engagement Contact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lifecycle status field on Account (ACT-ISS-001): The Account entity does not yet have a client-specific lifecycle status field analogous to partnerStatus. When this field is defined during CR domain process definition, the Client Intake process must be updated to set its initial value at record creation time.</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