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sz w:val="8"/>
          <w:szCs w:val="8"/>
        </w:rPr>
        <w:t xml:space="preserve"/>
      </w:r>
    </w:p>
    <w:p>
      <w:pPr>
        <w:shd w:fill="1F4E79" w:val="clear"/>
        <w:spacing w:before="120" w:after="0"/>
        <w:jc w:val="center"/>
      </w:pPr>
      <w:r>
        <w:rPr>
          <w:rFonts w:ascii="Arial" w:cs="Arial" w:eastAsia="Arial" w:hAnsi="Arial"/>
          <w:b/>
          <w:bCs/>
          <w:color w:val="FFFFFF"/>
          <w:sz w:val="48"/>
          <w:szCs w:val="48"/>
        </w:rPr>
        <w:t xml:space="preserve">CRM Platform Evaluation</w:t>
      </w:r>
    </w:p>
    <w:p>
      <w:pPr>
        <w:shd w:fill="1F4E79" w:val="clear"/>
        <w:spacing w:before="80" w:after="0"/>
        <w:jc w:val="center"/>
      </w:pPr>
      <w:r>
        <w:rPr>
          <w:rFonts w:ascii="Arial" w:cs="Arial" w:eastAsia="Arial" w:hAnsi="Arial"/>
          <w:b w:val="false"/>
          <w:bCs w:val="false"/>
          <w:color w:val="BDD7EE"/>
          <w:sz w:val="32"/>
          <w:szCs w:val="32"/>
        </w:rPr>
        <w:t xml:space="preserve">EspoCRM vs. CiviCRM</w:t>
      </w:r>
    </w:p>
    <w:p>
      <w:pPr>
        <w:shd w:fill="1F4E79" w:val="clear"/>
        <w:spacing w:before="80" w:after="0"/>
        <w:jc w:val="center"/>
      </w:pPr>
      <w:r>
        <w:rPr>
          <w:rFonts w:ascii="Arial" w:cs="Arial" w:eastAsia="Arial" w:hAnsi="Arial"/>
          <w:color w:val="BDD7EE"/>
          <w:sz w:val="24"/>
          <w:szCs w:val="24"/>
        </w:rPr>
        <w:t xml:space="preserve">Cleveland Business Mentors</w:t>
      </w:r>
    </w:p>
    <w:p>
      <w:pPr>
        <w:shd w:fill="1F4E79" w:val="clear"/>
        <w:spacing w:before="60" w:after="240"/>
        <w:jc w:val="center"/>
      </w:pPr>
      <w:r>
        <w:rPr>
          <w:rFonts w:ascii="Arial" w:cs="Arial" w:eastAsia="Arial" w:hAnsi="Arial"/>
          <w:color w:val="9DC3E6"/>
          <w:sz w:val="20"/>
          <w:szCs w:val="20"/>
        </w:rPr>
        <w:t xml:space="preserve">March 2026  |  Internal Technology Committee</w:t>
      </w:r>
    </w:p>
    <w:p>
      <w:pPr>
        <w:spacing w:before="60" w:after="60"/>
      </w:pPr>
      <w:r>
        <w:t xml:space="preserve"/>
      </w:r>
    </w:p>
    <w:p>
      <w:pPr>
        <w:pBdr>
          <w:bottom w:val="single" w:color="2E75B6" w:sz="6" w:space="1"/>
        </w:pBdr>
        <w:shd w:fill="1F4E79" w:val="clear"/>
        <w:spacing w:before="200" w:after="120"/>
      </w:pPr>
      <w:r>
        <w:rPr>
          <w:rFonts w:ascii="Arial" w:cs="Arial" w:eastAsia="Arial" w:hAnsi="Arial"/>
          <w:b/>
          <w:bCs/>
          <w:color w:val="FFFFFF"/>
          <w:sz w:val="28"/>
          <w:szCs w:val="28"/>
        </w:rPr>
        <w:t xml:space="preserve">Executive Summary</w:t>
      </w:r>
    </w:p>
    <w:p>
      <w:pPr>
        <w:spacing w:before="60" w:after="60"/>
      </w:pPr>
      <w:r>
        <w:t xml:space="preserve"/>
      </w:r>
    </w:p>
    <w:p>
      <w:pPr>
        <w:spacing w:before="60" w:after="100"/>
      </w:pPr>
      <w:r>
        <w:rPr>
          <w:rFonts w:ascii="Arial" w:cs="Arial" w:eastAsia="Arial" w:hAnsi="Arial"/>
          <w:sz w:val="22"/>
          <w:szCs w:val="22"/>
        </w:rPr>
        <w:t xml:space="preserve">This document evaluates two open-source CRM platforms — EspoCRM and CiviCRM — against the operational requirements of Cleveland Business Mentors (CBM). The evaluation was conducted to ensure the selected platform best supports CBM's primary mission of connecting mentors with small business clients across Northeast Ohio.</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Key Requirements</w:t>
      </w:r>
    </w:p>
    <w:p>
      <w:pPr>
        <w:pStyle w:val="ListParagraph"/>
        <w:numPr>
          <w:ilvl w:val="0"/>
          <w:numId w:val="2"/>
        </w:numPr>
        <w:spacing w:before="40" w:after="40"/>
      </w:pPr>
      <w:r>
        <w:rPr>
          <w:rFonts w:ascii="Arial" w:cs="Arial" w:eastAsia="Arial" w:hAnsi="Arial"/>
          <w:sz w:val="22"/>
          <w:szCs w:val="22"/>
        </w:rPr>
        <w:t xml:space="preserve">Mentor-client relationship management — engagements, sessions, and NPS tracking</w:t>
      </w:r>
    </w:p>
    <w:p>
      <w:pPr>
        <w:pStyle w:val="ListParagraph"/>
        <w:numPr>
          <w:ilvl w:val="0"/>
          <w:numId w:val="2"/>
        </w:numPr>
        <w:spacing w:before="40" w:after="40"/>
      </w:pPr>
      <w:r>
        <w:rPr>
          <w:rFonts w:ascii="Arial" w:cs="Arial" w:eastAsia="Arial" w:hAnsi="Arial"/>
          <w:sz w:val="22"/>
          <w:szCs w:val="22"/>
        </w:rPr>
        <w:t xml:space="preserve">Mentor lifecycle management — Provisional → Active → Inactive → Departed with a 7-step activation workflow</w:t>
      </w:r>
    </w:p>
    <w:p>
      <w:pPr>
        <w:pStyle w:val="ListParagraph"/>
        <w:numPr>
          <w:ilvl w:val="0"/>
          <w:numId w:val="2"/>
        </w:numPr>
        <w:spacing w:before="40" w:after="40"/>
      </w:pPr>
      <w:r>
        <w:rPr>
          <w:rFonts w:ascii="Arial" w:cs="Arial" w:eastAsia="Arial" w:hAnsi="Arial"/>
          <w:sz w:val="22"/>
          <w:szCs w:val="22"/>
        </w:rPr>
        <w:t xml:space="preserve">Per-user Google Gmail OAuth integration providing individual mentor inboxes within the CRM</w:t>
      </w:r>
    </w:p>
    <w:p>
      <w:pPr>
        <w:pStyle w:val="ListParagraph"/>
        <w:numPr>
          <w:ilvl w:val="0"/>
          <w:numId w:val="2"/>
        </w:numPr>
        <w:spacing w:before="40" w:after="40"/>
      </w:pPr>
      <w:r>
        <w:rPr>
          <w:rFonts w:ascii="Arial" w:cs="Arial" w:eastAsia="Arial" w:hAnsi="Arial"/>
          <w:sz w:val="22"/>
          <w:szCs w:val="22"/>
        </w:rPr>
        <w:t xml:space="preserve">Google Calendar sync for mentor scheduling</w:t>
      </w:r>
    </w:p>
    <w:p>
      <w:pPr>
        <w:pStyle w:val="ListParagraph"/>
        <w:numPr>
          <w:ilvl w:val="0"/>
          <w:numId w:val="2"/>
        </w:numPr>
        <w:spacing w:before="40" w:after="40"/>
      </w:pPr>
      <w:r>
        <w:rPr>
          <w:rFonts w:ascii="Arial" w:cs="Arial" w:eastAsia="Arial" w:hAnsi="Arial"/>
          <w:sz w:val="22"/>
          <w:szCs w:val="22"/>
        </w:rPr>
        <w:t xml:space="preserve">WordPress intake form integration via REST API</w:t>
      </w:r>
    </w:p>
    <w:p>
      <w:pPr>
        <w:pStyle w:val="ListParagraph"/>
        <w:numPr>
          <w:ilvl w:val="0"/>
          <w:numId w:val="2"/>
        </w:numPr>
        <w:spacing w:before="40" w:after="40"/>
      </w:pPr>
      <w:r>
        <w:rPr>
          <w:rFonts w:ascii="Arial" w:cs="Arial" w:eastAsia="Arial" w:hAnsi="Arial"/>
          <w:sz w:val="22"/>
          <w:szCs w:val="22"/>
        </w:rPr>
        <w:t xml:space="preserve">Workflow automation configurable without custom code</w:t>
      </w:r>
    </w:p>
    <w:p>
      <w:pPr>
        <w:pStyle w:val="ListParagraph"/>
        <w:numPr>
          <w:ilvl w:val="0"/>
          <w:numId w:val="2"/>
        </w:numPr>
        <w:spacing w:before="40" w:after="40"/>
      </w:pPr>
      <w:r>
        <w:rPr>
          <w:rFonts w:ascii="Arial" w:cs="Arial" w:eastAsia="Arial" w:hAnsi="Arial"/>
          <w:sz w:val="22"/>
          <w:szCs w:val="22"/>
        </w:rPr>
        <w:t xml:space="preserve">Clean, modern interface accessible to non-technical mentors and administrative staff</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Nice to Haves</w:t>
      </w:r>
    </w:p>
    <w:p>
      <w:pPr>
        <w:pStyle w:val="ListParagraph"/>
        <w:numPr>
          <w:ilvl w:val="0"/>
          <w:numId w:val="2"/>
        </w:numPr>
        <w:spacing w:before="40" w:after="40"/>
      </w:pPr>
      <w:r>
        <w:rPr>
          <w:rFonts w:ascii="Arial" w:cs="Arial" w:eastAsia="Arial" w:hAnsi="Arial"/>
          <w:sz w:val="22"/>
          <w:szCs w:val="22"/>
        </w:rPr>
        <w:t xml:space="preserve">Fundraising and donation tracking</w:t>
      </w:r>
    </w:p>
    <w:p>
      <w:pPr>
        <w:pStyle w:val="ListParagraph"/>
        <w:numPr>
          <w:ilvl w:val="0"/>
          <w:numId w:val="2"/>
        </w:numPr>
        <w:spacing w:before="40" w:after="40"/>
      </w:pPr>
      <w:r>
        <w:rPr>
          <w:rFonts w:ascii="Arial" w:cs="Arial" w:eastAsia="Arial" w:hAnsi="Arial"/>
          <w:sz w:val="22"/>
          <w:szCs w:val="22"/>
        </w:rPr>
        <w:t xml:space="preserve">Event registration and management</w:t>
      </w:r>
    </w:p>
    <w:p>
      <w:pPr>
        <w:pStyle w:val="ListParagraph"/>
        <w:numPr>
          <w:ilvl w:val="0"/>
          <w:numId w:val="2"/>
        </w:numPr>
        <w:spacing w:before="40" w:after="40"/>
      </w:pPr>
      <w:r>
        <w:rPr>
          <w:rFonts w:ascii="Arial" w:cs="Arial" w:eastAsia="Arial" w:hAnsi="Arial"/>
          <w:sz w:val="22"/>
          <w:szCs w:val="22"/>
        </w:rPr>
        <w:t xml:space="preserve">Moodle LMS integration</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Recommendation: EspoCRM</w:t>
      </w:r>
    </w:p>
    <w:p>
      <w:pPr>
        <w:spacing w:before="60" w:after="100"/>
      </w:pPr>
      <w:r>
        <w:rPr>
          <w:rFonts w:ascii="Arial" w:cs="Arial" w:eastAsia="Arial" w:hAnsi="Arial"/>
          <w:sz w:val="22"/>
          <w:szCs w:val="22"/>
        </w:rPr>
        <w:t xml:space="preserve">EspoCRM is recommended as CBM's CRM platform. The decision is grounded in CBM's actual operational priorities: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CBM's core function is mentoring relationship management — connecting mentors with clients, tracking engagements and sessions, and managing mentor lifecycles. This is a CRM problem, not a nonprofit-administration problem.</w:t>
      </w:r>
    </w:p>
    <w:p>
      <w:pPr>
        <w:pStyle w:val="ListParagraph"/>
        <w:numPr>
          <w:ilvl w:val="0"/>
          <w:numId w:val="2"/>
        </w:numPr>
        <w:spacing w:before="40" w:after="40"/>
      </w:pPr>
      <w:r>
        <w:rPr>
          <w:rFonts w:ascii="Arial" w:cs="Arial" w:eastAsia="Arial" w:hAnsi="Arial"/>
          <w:sz w:val="22"/>
          <w:szCs w:val="22"/>
        </w:rPr>
        <w:t xml:space="preserve">EspoCRM's flexible data model, custom entity builder, and Dynamic Logic capabilities allow CBM's mentoring workflow to be modeled cleanly and natively — without bending existing constructs to fit.</w:t>
      </w:r>
    </w:p>
    <w:p>
      <w:pPr>
        <w:pStyle w:val="ListParagraph"/>
        <w:numPr>
          <w:ilvl w:val="0"/>
          <w:numId w:val="2"/>
        </w:numPr>
        <w:spacing w:before="40" w:after="40"/>
      </w:pPr>
      <w:r>
        <w:rPr>
          <w:rFonts w:ascii="Arial" w:cs="Arial" w:eastAsia="Arial" w:hAnsi="Arial"/>
          <w:sz w:val="22"/>
          <w:szCs w:val="22"/>
        </w:rPr>
        <w:t xml:space="preserve">EspoCRM integrates directly with Google Workspace via per-user OAuth, aligning with CBM's Google-centric infrastructure. Each mentor's CBM Gmail connects to their own CRM inbox — CiviCRM has no equivalent capability.</w:t>
      </w:r>
    </w:p>
    <w:p>
      <w:pPr>
        <w:pStyle w:val="ListParagraph"/>
        <w:numPr>
          <w:ilvl w:val="0"/>
          <w:numId w:val="2"/>
        </w:numPr>
        <w:spacing w:before="40" w:after="40"/>
      </w:pPr>
      <w:r>
        <w:rPr>
          <w:rFonts w:ascii="Arial" w:cs="Arial" w:eastAsia="Arial" w:hAnsi="Arial"/>
          <w:sz w:val="22"/>
          <w:szCs w:val="22"/>
        </w:rPr>
        <w:t xml:space="preserve">CiviCRM's strongest features — fundraising, donor management, event registration, memberships, and grant tracking — are either not required by CBM or are classified as 'nice to have' secondary functions that do not justify the complexity of adopting a platform built around them.</w:t>
      </w:r>
    </w:p>
    <w:p>
      <w:pPr>
        <w:pStyle w:val="ListParagraph"/>
        <w:numPr>
          <w:ilvl w:val="0"/>
          <w:numId w:val="2"/>
        </w:numPr>
        <w:spacing w:before="40" w:after="40"/>
      </w:pPr>
      <w:r>
        <w:rPr>
          <w:rFonts w:ascii="Arial" w:cs="Arial" w:eastAsia="Arial" w:hAnsi="Arial"/>
          <w:sz w:val="22"/>
          <w:szCs w:val="22"/>
        </w:rPr>
        <w:t xml:space="preserve">Where secondary needs such as donation tracking or event registration do arise, lightweight dedicated tools can be integrated alongside EspoCRM without compromising the primary platform's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Evaluation Criterion</w:t>
            </w:r>
          </w:p>
        </w:tc>
        <w:tc>
          <w:tcPr>
            <w:tcW w:type="dxa" w:w="2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EspoCRM</w:t>
            </w:r>
          </w:p>
        </w:tc>
        <w:tc>
          <w:tcPr>
            <w:tcW w:type="dxa" w:w="2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CiviCRM</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Primary Design Purpose</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General-purpose CRM</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Nonprofit administration</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Mentoring Relationship Management</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Native custom entity model</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Possible via repurposed CiviCase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Google Workspace Integration</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Per-user Gmail OAuth</w:t>
            </w:r>
          </w:p>
        </w:tc>
        <w:tc>
          <w:tcPr>
            <w:tcW w:type="dxa" w:w="28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No per-user inbox sync</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User Interface Modernity</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Clean, modern, mobile-ready</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Dated, complex interface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Standalone Hosting</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Fully independent</w:t>
            </w:r>
          </w:p>
        </w:tc>
        <w:tc>
          <w:tcPr>
            <w:tcW w:type="dxa" w:w="28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Requires WordPress/Drupal host</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Workflow Automation</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Built-in BPM engine</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Requires CiviRules extension</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Fundraising &amp; Donor Management</w:t>
            </w:r>
          </w:p>
        </w:tc>
        <w:tc>
          <w:tcPr>
            <w:tcW w:type="dxa" w:w="28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Requires custom build</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Native, purpose-built</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Event Registration</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Requires integration</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Native CiviEvent module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Nonprofit Community &amp; Ecosystem</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Growing, general purpose</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Large, nonprofit-focused</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REST API / WordPress Integration</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Standard JSON, well-documented</w:t>
            </w:r>
          </w:p>
        </w:tc>
        <w:tc>
          <w:tcPr>
            <w:tcW w:type="dxa" w:w="28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Proprietary API syntax</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Overall Fit for CBM</w:t>
            </w:r>
          </w:p>
        </w:tc>
        <w:tc>
          <w:tcPr>
            <w:tcW w:type="dxa" w:w="28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8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Not recommended</w:t>
            </w:r>
          </w:p>
        </w:tc>
      </w:tr>
    </w:tbl>
    <w:p>
      <w:pPr>
        <w:spacing w:before="60" w:after="60"/>
      </w:pPr>
      <w:r>
        <w:t xml:space="preserve"/>
      </w:r>
    </w:p>
    <w:p>
      <w:pPr>
        <w:spacing w:before="60" w:after="60"/>
      </w:pPr>
      <w:r>
        <w:t xml:space="preserve"/>
      </w:r>
    </w:p>
    <w:p>
      <w:r>
        <w:br w:type="page"/>
      </w:r>
    </w:p>
    <w:p>
      <w:pPr>
        <w:pBdr>
          <w:bottom w:val="single" w:color="2E75B6" w:sz="6" w:space="1"/>
        </w:pBdr>
        <w:shd w:fill="1F4E79" w:val="clear"/>
        <w:spacing w:before="200" w:after="120"/>
      </w:pPr>
      <w:r>
        <w:rPr>
          <w:rFonts w:ascii="Arial" w:cs="Arial" w:eastAsia="Arial" w:hAnsi="Arial"/>
          <w:b/>
          <w:bCs/>
          <w:color w:val="FFFFFF"/>
          <w:sz w:val="28"/>
          <w:szCs w:val="28"/>
        </w:rPr>
        <w:t xml:space="preserve">In-Depth Comparison</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1.  Platform Design Philosophy</w:t>
      </w:r>
    </w:p>
    <w:p>
      <w:pPr>
        <w:spacing w:before="60" w:after="100"/>
      </w:pPr>
      <w:r>
        <w:rPr>
          <w:rFonts w:ascii="Arial" w:cs="Arial" w:eastAsia="Arial" w:hAnsi="Arial"/>
          <w:sz w:val="22"/>
          <w:szCs w:val="22"/>
        </w:rPr>
        <w:t xml:space="preserve">Understanding what each platform was built for is the most important factor in the evaluation. Feature parity matters less than architectural alignment with the organization's mission.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EspoCRM</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CiviCRM</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Design Goal</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General-purpose CRM — adaptable to any relationship-management use case through a flexible, extensible data model.</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Purpose-built for nonprofit and civic organizations — fundraising, donor management, membership, events, grants, and case management.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Core Metaphor</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Contacts, Accounts, Relationships, and Engagements — clean, neutral, and configurable.</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Constituents, Contributions, Memberships, Cases — deeply embedded nonprofit terminology and workflows.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Founded</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2011 — modern architecture, active development, clean codebase.</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2005 — long nonprofit history, large community, but carries legacy design decisions.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Hosting Model</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application — runs independently on any LAMP/LEMP stack or Docker.</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Plugin for WordPress, Drupal, or Joomla — cannot run standalone; requires a host CMS.</w:t>
            </w:r>
          </w:p>
        </w:tc>
      </w:tr>
    </w:tbl>
    <w:p>
      <w:pPr>
        <w:spacing w:before="60" w:after="60"/>
      </w:pPr>
      <w:r>
        <w:t xml:space="preserve"/>
      </w:r>
    </w:p>
    <w:p>
      <w:pPr>
        <w:spacing w:before="60" w:after="100"/>
      </w:pPr>
      <w:r>
        <w:rPr>
          <w:rFonts w:ascii="Arial" w:cs="Arial" w:eastAsia="Arial" w:hAnsi="Arial"/>
          <w:i/>
          <w:iCs/>
          <w:color w:val="444444"/>
          <w:sz w:val="22"/>
          <w:szCs w:val="22"/>
        </w:rPr>
        <w:t xml:space="preserve">For CBM, the neutral, configurable nature of EspoCRM is an advantage, not a weakness. CBM's mentoring model does not map to nonprofit-administration concepts, and building on CiviCRM would mean carrying features and complexity that are never used.</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2.  Mentoring Relationship Management</w:t>
      </w:r>
    </w:p>
    <w:p>
      <w:pPr>
        <w:spacing w:before="60" w:after="100"/>
      </w:pPr>
      <w:r>
        <w:rPr>
          <w:rFonts w:ascii="Arial" w:cs="Arial" w:eastAsia="Arial" w:hAnsi="Arial"/>
          <w:sz w:val="22"/>
          <w:szCs w:val="22"/>
        </w:rPr>
        <w:t xml:space="preserve">This is CBM's primary use case and therefore the most critical evaluation dimension. The question is how cleanly each platform can model the Mentor → Client → Engagement → Session hierarchy.</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EspoCRM Approach</w:t>
      </w:r>
    </w:p>
    <w:p>
      <w:pPr>
        <w:pStyle w:val="ListParagraph"/>
        <w:numPr>
          <w:ilvl w:val="0"/>
          <w:numId w:val="2"/>
        </w:numPr>
        <w:spacing w:before="40" w:after="40"/>
      </w:pPr>
      <w:r>
        <w:rPr>
          <w:rFonts w:ascii="Arial" w:cs="Arial" w:eastAsia="Arial" w:hAnsi="Arial"/>
          <w:sz w:val="22"/>
          <w:szCs w:val="22"/>
        </w:rPr>
        <w:t xml:space="preserve">Contact entity with a Contact Type field (Mentor / Client) and Dynamic Logic panels that surface relevant fields conditionally.</w:t>
      </w:r>
    </w:p>
    <w:p>
      <w:pPr>
        <w:pStyle w:val="ListParagraph"/>
        <w:numPr>
          <w:ilvl w:val="0"/>
          <w:numId w:val="2"/>
        </w:numPr>
        <w:spacing w:before="40" w:after="40"/>
      </w:pPr>
      <w:r>
        <w:rPr>
          <w:rFonts w:ascii="Arial" w:cs="Arial" w:eastAsia="Arial" w:hAnsi="Arial"/>
          <w:sz w:val="22"/>
          <w:szCs w:val="22"/>
        </w:rPr>
        <w:t xml:space="preserve">Custom Engagement entity (planned) linking one or more Mentors to a Client, with fields for status, NPS scores, session count, and match date.</w:t>
      </w:r>
    </w:p>
    <w:p>
      <w:pPr>
        <w:pStyle w:val="ListParagraph"/>
        <w:numPr>
          <w:ilvl w:val="0"/>
          <w:numId w:val="2"/>
        </w:numPr>
        <w:spacing w:before="40" w:after="40"/>
      </w:pPr>
      <w:r>
        <w:rPr>
          <w:rFonts w:ascii="Arial" w:cs="Arial" w:eastAsia="Arial" w:hAnsi="Arial"/>
          <w:sz w:val="22"/>
          <w:szCs w:val="22"/>
        </w:rPr>
        <w:t xml:space="preserve">Sessions modeled as child records of Engagement — clean parent-child relationship with full CRUD and reporting.</w:t>
      </w:r>
    </w:p>
    <w:p>
      <w:pPr>
        <w:pStyle w:val="ListParagraph"/>
        <w:numPr>
          <w:ilvl w:val="0"/>
          <w:numId w:val="2"/>
        </w:numPr>
        <w:spacing w:before="40" w:after="40"/>
      </w:pPr>
      <w:r>
        <w:rPr>
          <w:rFonts w:ascii="Arial" w:cs="Arial" w:eastAsia="Arial" w:hAnsi="Arial"/>
          <w:sz w:val="22"/>
          <w:szCs w:val="22"/>
        </w:rPr>
        <w:t xml:space="preserve">Mentor lifecycle managed via a Mentor Status field (Provisional / Active / Inactive / Departed) with workflow automation for the 7-step activation process.</w:t>
      </w:r>
    </w:p>
    <w:p>
      <w:pPr>
        <w:pStyle w:val="ListParagraph"/>
        <w:numPr>
          <w:ilvl w:val="0"/>
          <w:numId w:val="2"/>
        </w:numPr>
        <w:spacing w:before="40" w:after="40"/>
      </w:pPr>
      <w:r>
        <w:rPr>
          <w:rFonts w:ascii="Arial" w:cs="Arial" w:eastAsia="Arial" w:hAnsi="Arial"/>
          <w:sz w:val="22"/>
          <w:szCs w:val="22"/>
        </w:rPr>
        <w:t xml:space="preserve">Many-to-many mentor relationships (Primary Mentor, Co-Mentor, SME) modeled via boolean role fields on the Contact record.</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CiviCRM Approach</w:t>
      </w:r>
    </w:p>
    <w:p>
      <w:pPr>
        <w:pStyle w:val="ListParagraph"/>
        <w:numPr>
          <w:ilvl w:val="0"/>
          <w:numId w:val="2"/>
        </w:numPr>
        <w:spacing w:before="40" w:after="40"/>
      </w:pPr>
      <w:r>
        <w:rPr>
          <w:rFonts w:ascii="Arial" w:cs="Arial" w:eastAsia="Arial" w:hAnsi="Arial"/>
          <w:sz w:val="22"/>
          <w:szCs w:val="22"/>
        </w:rPr>
        <w:t xml:space="preserve">Contacts with Relationship types — a 'is mentor of / is client of' relationship can be defined. However, custom fields cannot be added to the relationship object itself.</w:t>
      </w:r>
    </w:p>
    <w:p>
      <w:pPr>
        <w:pStyle w:val="ListParagraph"/>
        <w:numPr>
          <w:ilvl w:val="0"/>
          <w:numId w:val="2"/>
        </w:numPr>
        <w:spacing w:before="40" w:after="40"/>
      </w:pPr>
      <w:r>
        <w:rPr>
          <w:rFonts w:ascii="Arial" w:cs="Arial" w:eastAsia="Arial" w:hAnsi="Arial"/>
          <w:sz w:val="22"/>
          <w:szCs w:val="22"/>
        </w:rPr>
        <w:t xml:space="preserve">CiviCase is the closest equivalent to CBM's Engagement concept. It provides a container for activities (sessions) with a status and timeline.</w:t>
      </w:r>
    </w:p>
    <w:p>
      <w:pPr>
        <w:pStyle w:val="ListParagraph"/>
        <w:numPr>
          <w:ilvl w:val="0"/>
          <w:numId w:val="2"/>
        </w:numPr>
        <w:spacing w:before="40" w:after="40"/>
      </w:pPr>
      <w:r>
        <w:rPr>
          <w:rFonts w:ascii="Arial" w:cs="Arial" w:eastAsia="Arial" w:hAnsi="Arial"/>
          <w:sz w:val="22"/>
          <w:szCs w:val="22"/>
        </w:rPr>
        <w:t xml:space="preserve">CiviCase was designed for social services case management — one case worker, one client, structured intake — and must be significantly repurposed for a mentoring model.</w:t>
      </w:r>
    </w:p>
    <w:p>
      <w:pPr>
        <w:pStyle w:val="ListParagraph"/>
        <w:numPr>
          <w:ilvl w:val="0"/>
          <w:numId w:val="2"/>
        </w:numPr>
        <w:spacing w:before="40" w:after="40"/>
      </w:pPr>
      <w:r>
        <w:rPr>
          <w:rFonts w:ascii="Arial" w:cs="Arial" w:eastAsia="Arial" w:hAnsi="Arial"/>
          <w:sz w:val="22"/>
          <w:szCs w:val="22"/>
        </w:rPr>
        <w:t xml:space="preserve">True many-to-many mentor assignments (primary mentor plus co-mentor plus SME) are awkward within CiviCase's design assumptions.</w:t>
      </w:r>
    </w:p>
    <w:p>
      <w:pPr>
        <w:pStyle w:val="ListParagraph"/>
        <w:numPr>
          <w:ilvl w:val="0"/>
          <w:numId w:val="2"/>
        </w:numPr>
        <w:spacing w:before="40" w:after="40"/>
      </w:pPr>
      <w:r>
        <w:rPr>
          <w:rFonts w:ascii="Arial" w:cs="Arial" w:eastAsia="Arial" w:hAnsi="Arial"/>
          <w:sz w:val="22"/>
          <w:szCs w:val="22"/>
        </w:rPr>
        <w:t xml:space="preserve">Custom fields on Cases are supported, but the case management UI is widely regarded as complex and dated.</w:t>
      </w:r>
    </w:p>
    <w:p>
      <w:pPr>
        <w:spacing w:before="60" w:after="60"/>
      </w:pPr>
      <w:r>
        <w:t xml:space="preserve"/>
      </w:r>
    </w:p>
    <w:p>
      <w:pPr>
        <w:spacing w:before="60" w:after="100"/>
      </w:pPr>
      <w:r>
        <w:rPr>
          <w:rFonts w:ascii="Arial" w:cs="Arial" w:eastAsia="Arial" w:hAnsi="Arial"/>
          <w:b/>
          <w:bCs/>
          <w:sz w:val="22"/>
          <w:szCs w:val="22"/>
        </w:rPr>
        <w:t xml:space="preserve">Verdict: EspoCRM allows CBM's exact data model to be built cleanly. CiviCRM requires bending existing constructs, with the result feeling like a workaround rather than a native design.</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3.  Google Workspace Integration</w:t>
      </w:r>
    </w:p>
    <w:p>
      <w:pPr>
        <w:spacing w:before="60" w:after="100"/>
      </w:pPr>
      <w:r>
        <w:rPr>
          <w:rFonts w:ascii="Arial" w:cs="Arial" w:eastAsia="Arial" w:hAnsi="Arial"/>
          <w:sz w:val="22"/>
          <w:szCs w:val="22"/>
        </w:rPr>
        <w:t xml:space="preserve">CBM's infrastructure is built around Google Workspace for Nonprofits. Each mentor receives a personalized CBM Gmail address. The ability to connect individual Gmail inboxes to the CRM is a core operational requirement.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EspoCRM</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CiviCRM</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Per-user Gmail OAuth</w:t>
            </w:r>
          </w:p>
        </w:tc>
        <w:tc>
          <w:tcPr>
            <w:tcW w:type="dxa" w:w="34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Native via Google Integration extension. Each mentor connects their CBM Gmail independently with full inbox isolation.</w:t>
            </w:r>
          </w:p>
        </w:tc>
        <w:tc>
          <w:tcPr>
            <w:tcW w:type="dxa" w:w="34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Not supported. No per-user Gmail OAuth capability exists natively.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Google Calendar Sync</w:t>
            </w:r>
          </w:p>
        </w:tc>
        <w:tc>
          <w:tcPr>
            <w:tcW w:type="dxa" w:w="34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Supported via Google Integration extension.</w:t>
            </w:r>
          </w:p>
        </w:tc>
        <w:tc>
          <w:tcPr>
            <w:tcW w:type="dxa" w:w="34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Limited, extension-dependent.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Google Drive</w:t>
            </w:r>
          </w:p>
        </w:tc>
        <w:tc>
          <w:tcPr>
            <w:tcW w:type="dxa" w:w="34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Via integration.</w:t>
            </w:r>
          </w:p>
        </w:tc>
        <w:tc>
          <w:tcPr>
            <w:tcW w:type="dxa" w:w="34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  Via integration.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OAuth as Identity Layer</w:t>
            </w:r>
          </w:p>
        </w:tc>
        <w:tc>
          <w:tcPr>
            <w:tcW w:type="dxa" w:w="34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Google OAuth serves as common identity across WordPress, EspoCRM, and Moodle.</w:t>
            </w:r>
          </w:p>
        </w:tc>
        <w:tc>
          <w:tcPr>
            <w:tcW w:type="dxa" w:w="34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No equivalent identity layer architecture.</w:t>
            </w:r>
          </w:p>
        </w:tc>
      </w:tr>
    </w:tbl>
    <w:p>
      <w:pPr>
        <w:spacing w:before="60" w:after="60"/>
      </w:pPr>
      <w:r>
        <w:t xml:space="preserve"/>
      </w:r>
    </w:p>
    <w:p>
      <w:pPr>
        <w:spacing w:before="60" w:after="100"/>
      </w:pPr>
      <w:r>
        <w:rPr>
          <w:rFonts w:ascii="Arial" w:cs="Arial" w:eastAsia="Arial" w:hAnsi="Arial"/>
          <w:b/>
          <w:bCs/>
          <w:sz w:val="22"/>
          <w:szCs w:val="22"/>
        </w:rPr>
        <w:t xml:space="preserve">This is a decisive factor in CBM's evaluation. The per-user Gmail integration is not a convenience feature — it is the mechanism through which mentors manage all client communication. CiviCRM cannot support this architecture.</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4.  Hosting and Architecture</w:t>
      </w:r>
    </w:p>
    <w:p>
      <w:pPr>
        <w:pStyle w:val="ListParagraph"/>
        <w:numPr>
          <w:ilvl w:val="0"/>
          <w:numId w:val="2"/>
        </w:numPr>
        <w:spacing w:before="40" w:after="40"/>
      </w:pPr>
      <w:r>
        <w:rPr>
          <w:rFonts w:ascii="Arial" w:cs="Arial" w:eastAsia="Arial" w:hAnsi="Arial"/>
          <w:b/>
          <w:bCs/>
          <w:sz w:val="22"/>
          <w:szCs w:val="22"/>
        </w:rPr>
        <w:t xml:space="preserve">EspoCRM: </w:t>
      </w:r>
      <w:r>
        <w:rPr>
          <w:rFonts w:ascii="Arial" w:cs="Arial" w:eastAsia="Arial" w:hAnsi="Arial"/>
          <w:sz w:val="22"/>
          <w:szCs w:val="22"/>
        </w:rPr>
        <w:t xml:space="preserve">EspoCRM runs as a standalone application. It can be deployed on any standard web hosting environment and is fully independent of any CMS. This simplifies maintenance, upgrades, and security management.</w:t>
      </w:r>
    </w:p>
    <w:p>
      <w:pPr>
        <w:pStyle w:val="ListParagraph"/>
        <w:numPr>
          <w:ilvl w:val="0"/>
          <w:numId w:val="2"/>
        </w:numPr>
        <w:spacing w:before="40" w:after="40"/>
      </w:pPr>
      <w:r>
        <w:rPr>
          <w:rFonts w:ascii="Arial" w:cs="Arial" w:eastAsia="Arial" w:hAnsi="Arial"/>
          <w:b/>
          <w:bCs/>
          <w:sz w:val="22"/>
          <w:szCs w:val="22"/>
        </w:rPr>
        <w:t xml:space="preserve">CiviCRM: </w:t>
      </w:r>
      <w:r>
        <w:rPr>
          <w:rFonts w:ascii="Arial" w:cs="Arial" w:eastAsia="Arial" w:hAnsi="Arial"/>
          <w:sz w:val="22"/>
          <w:szCs w:val="22"/>
        </w:rPr>
        <w:t xml:space="preserve">CiviCRM is a plugin for WordPress, Drupal, or Joomla. It cannot operate independently. For CBM, this would mean either running CiviCRM on the same WordPress instance as the public website (creating tight coupling) or maintaining a separate CMS environment solely to host CiviCRM.</w:t>
      </w:r>
    </w:p>
    <w:p>
      <w:pPr>
        <w:spacing w:before="60" w:after="60"/>
      </w:pPr>
      <w:r>
        <w:t xml:space="preserve"/>
      </w:r>
    </w:p>
    <w:p>
      <w:pPr>
        <w:spacing w:before="60" w:after="100"/>
      </w:pPr>
      <w:r>
        <w:rPr>
          <w:rFonts w:ascii="Arial" w:cs="Arial" w:eastAsia="Arial" w:hAnsi="Arial"/>
          <w:sz w:val="22"/>
          <w:szCs w:val="22"/>
        </w:rPr>
        <w:t xml:space="preserve">CBM's planned architecture separates EspoCRM, WordPress, and Moodle into distinct, loosely-coupled systems. CiviCRM's CMS dependency runs counter to this design principle and adds operational risk.</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5.  Workflow Automation</w:t>
      </w:r>
    </w:p>
    <w:p>
      <w:pPr>
        <w:spacing w:before="60" w:after="100"/>
      </w:pPr>
      <w:r>
        <w:rPr>
          <w:rFonts w:ascii="Arial" w:cs="Arial" w:eastAsia="Arial" w:hAnsi="Arial"/>
          <w:sz w:val="22"/>
          <w:szCs w:val="22"/>
        </w:rPr>
        <w:t xml:space="preserve">CBM has a defined 7-step mentor activation workflow (Provisional → Active) requiring training completion, background checks, and manual admin approval. Automation support is therefore a real operational requirement.</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EspoCRM: </w:t>
      </w:r>
      <w:r>
        <w:rPr>
          <w:rFonts w:ascii="Arial" w:cs="Arial" w:eastAsia="Arial" w:hAnsi="Arial"/>
          <w:sz w:val="22"/>
          <w:szCs w:val="22"/>
        </w:rPr>
        <w:t xml:space="preserve">EspoCRM includes a built-in BPM (Business Process Management) engine and a Workflow/Formula system. The mentor activation workflow can be configured in the UI without writing code.</w:t>
      </w:r>
    </w:p>
    <w:p>
      <w:pPr>
        <w:pStyle w:val="ListParagraph"/>
        <w:numPr>
          <w:ilvl w:val="0"/>
          <w:numId w:val="2"/>
        </w:numPr>
        <w:spacing w:before="40" w:after="40"/>
      </w:pPr>
      <w:r>
        <w:rPr>
          <w:rFonts w:ascii="Arial" w:cs="Arial" w:eastAsia="Arial" w:hAnsi="Arial"/>
          <w:b/>
          <w:bCs/>
          <w:sz w:val="22"/>
          <w:szCs w:val="22"/>
        </w:rPr>
        <w:t xml:space="preserve">CiviCRM: </w:t>
      </w:r>
      <w:r>
        <w:rPr>
          <w:rFonts w:ascii="Arial" w:cs="Arial" w:eastAsia="Arial" w:hAnsi="Arial"/>
          <w:sz w:val="22"/>
          <w:szCs w:val="22"/>
        </w:rPr>
        <w:t xml:space="preserve">CiviCRM's native automation is limited to Smart Groups and scheduled reminders. Complex workflows require installing and configuring the CiviRules extension — a separate, community-maintained tool that adds configuration complexity.</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6.  User Interface and Usability</w:t>
      </w:r>
    </w:p>
    <w:p>
      <w:pPr>
        <w:spacing w:before="60" w:after="100"/>
      </w:pPr>
      <w:r>
        <w:rPr>
          <w:rFonts w:ascii="Arial" w:cs="Arial" w:eastAsia="Arial" w:hAnsi="Arial"/>
          <w:sz w:val="22"/>
          <w:szCs w:val="22"/>
        </w:rPr>
        <w:t xml:space="preserve">CBM's CRM users include mentors and administrative staff who may not be technically sophisticated. Interface quality directly affects adoption.</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EspoCRM: </w:t>
      </w:r>
      <w:r>
        <w:rPr>
          <w:rFonts w:ascii="Arial" w:cs="Arial" w:eastAsia="Arial" w:hAnsi="Arial"/>
          <w:sz w:val="22"/>
          <w:szCs w:val="22"/>
        </w:rPr>
        <w:t xml:space="preserve">EspoCRM offers a clean, modern, mobile-responsive interface that feels consistent with contemporary SaaS tools. The layout is intuitive for users familiar with common business software.</w:t>
      </w:r>
    </w:p>
    <w:p>
      <w:pPr>
        <w:pStyle w:val="ListParagraph"/>
        <w:numPr>
          <w:ilvl w:val="0"/>
          <w:numId w:val="2"/>
        </w:numPr>
        <w:spacing w:before="40" w:after="40"/>
      </w:pPr>
      <w:r>
        <w:rPr>
          <w:rFonts w:ascii="Arial" w:cs="Arial" w:eastAsia="Arial" w:hAnsi="Arial"/>
          <w:b/>
          <w:bCs/>
          <w:sz w:val="22"/>
          <w:szCs w:val="22"/>
        </w:rPr>
        <w:t xml:space="preserve">CiviCRM: </w:t>
      </w:r>
      <w:r>
        <w:rPr>
          <w:rFonts w:ascii="Arial" w:cs="Arial" w:eastAsia="Arial" w:hAnsi="Arial"/>
          <w:sz w:val="22"/>
          <w:szCs w:val="22"/>
        </w:rPr>
        <w:t xml:space="preserve">CiviCRM's interface reflects its 2005 origins. It is widely described as dense, complex, and unintuitive — particularly for infrequent users. Significant training overhead is common in CiviCRM deployments.</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7.  Fundraising and Event Management</w:t>
      </w:r>
    </w:p>
    <w:p>
      <w:pPr>
        <w:spacing w:before="60" w:after="100"/>
      </w:pPr>
      <w:r>
        <w:rPr>
          <w:rFonts w:ascii="Arial" w:cs="Arial" w:eastAsia="Arial" w:hAnsi="Arial"/>
          <w:sz w:val="22"/>
          <w:szCs w:val="22"/>
        </w:rPr>
        <w:t xml:space="preserve">CiviCRM's strongest advantage over EspoCRM is in this area. This section provides an honest assessment given that CBM does conduct fundraising activities and could benefit from event registration support.</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CiviCRM Strengths</w:t>
      </w:r>
    </w:p>
    <w:p>
      <w:pPr>
        <w:pStyle w:val="ListParagraph"/>
        <w:numPr>
          <w:ilvl w:val="0"/>
          <w:numId w:val="2"/>
        </w:numPr>
        <w:spacing w:before="40" w:after="40"/>
      </w:pPr>
      <w:r>
        <w:rPr>
          <w:rFonts w:ascii="Arial" w:cs="Arial" w:eastAsia="Arial" w:hAnsi="Arial"/>
          <w:sz w:val="22"/>
          <w:szCs w:val="22"/>
        </w:rPr>
        <w:t xml:space="preserve">CiviContribute: Native donation management with pledge tracking, recurring gifts, donor acknowledgment letters, and tax receipt generation.</w:t>
      </w:r>
    </w:p>
    <w:p>
      <w:pPr>
        <w:pStyle w:val="ListParagraph"/>
        <w:numPr>
          <w:ilvl w:val="0"/>
          <w:numId w:val="2"/>
        </w:numPr>
        <w:spacing w:before="40" w:after="40"/>
      </w:pPr>
      <w:r>
        <w:rPr>
          <w:rFonts w:ascii="Arial" w:cs="Arial" w:eastAsia="Arial" w:hAnsi="Arial"/>
          <w:sz w:val="22"/>
          <w:szCs w:val="22"/>
        </w:rPr>
        <w:t xml:space="preserve">CiviEvent: Native event registration, waitlisting, attendee management, and payment processing.</w:t>
      </w:r>
    </w:p>
    <w:p>
      <w:pPr>
        <w:pStyle w:val="ListParagraph"/>
        <w:numPr>
          <w:ilvl w:val="0"/>
          <w:numId w:val="2"/>
        </w:numPr>
        <w:spacing w:before="40" w:after="40"/>
      </w:pPr>
      <w:r>
        <w:rPr>
          <w:rFonts w:ascii="Arial" w:cs="Arial" w:eastAsia="Arial" w:hAnsi="Arial"/>
          <w:sz w:val="22"/>
          <w:szCs w:val="22"/>
        </w:rPr>
        <w:t xml:space="preserve">CiviGrant: Grant tracking and reporting.</w:t>
      </w:r>
    </w:p>
    <w:p>
      <w:pPr>
        <w:pStyle w:val="ListParagraph"/>
        <w:numPr>
          <w:ilvl w:val="0"/>
          <w:numId w:val="2"/>
        </w:numPr>
        <w:spacing w:before="40" w:after="40"/>
      </w:pPr>
      <w:r>
        <w:rPr>
          <w:rFonts w:ascii="Arial" w:cs="Arial" w:eastAsia="Arial" w:hAnsi="Arial"/>
          <w:sz w:val="22"/>
          <w:szCs w:val="22"/>
        </w:rPr>
        <w:t xml:space="preserve">CiviMail: Bulk email and campaign management for donor communications.</w:t>
      </w:r>
    </w:p>
    <w:p>
      <w:pPr>
        <w:pStyle w:val="ListParagraph"/>
        <w:numPr>
          <w:ilvl w:val="0"/>
          <w:numId w:val="2"/>
        </w:numPr>
        <w:spacing w:before="40" w:after="40"/>
      </w:pPr>
      <w:r>
        <w:rPr>
          <w:rFonts w:ascii="Arial" w:cs="Arial" w:eastAsia="Arial" w:hAnsi="Arial"/>
          <w:sz w:val="22"/>
          <w:szCs w:val="22"/>
        </w:rPr>
        <w:t xml:space="preserve">Reporting: Strong built-in constituent and fundraising reports.</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EspoCRM Limitations</w:t>
      </w:r>
    </w:p>
    <w:p>
      <w:pPr>
        <w:pStyle w:val="ListParagraph"/>
        <w:numPr>
          <w:ilvl w:val="0"/>
          <w:numId w:val="2"/>
        </w:numPr>
        <w:spacing w:before="40" w:after="40"/>
      </w:pPr>
      <w:r>
        <w:rPr>
          <w:rFonts w:ascii="Arial" w:cs="Arial" w:eastAsia="Arial" w:hAnsi="Arial"/>
          <w:sz w:val="22"/>
          <w:szCs w:val="22"/>
        </w:rPr>
        <w:t xml:space="preserve">No native fundraising module. Donation tracking would require building a custom entity from scratch.</w:t>
      </w:r>
    </w:p>
    <w:p>
      <w:pPr>
        <w:pStyle w:val="ListParagraph"/>
        <w:numPr>
          <w:ilvl w:val="0"/>
          <w:numId w:val="2"/>
        </w:numPr>
        <w:spacing w:before="40" w:after="40"/>
      </w:pPr>
      <w:r>
        <w:rPr>
          <w:rFonts w:ascii="Arial" w:cs="Arial" w:eastAsia="Arial" w:hAnsi="Arial"/>
          <w:sz w:val="22"/>
          <w:szCs w:val="22"/>
        </w:rPr>
        <w:t xml:space="preserve">Event registration is not a native capability and would require integration with an external tool.</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Context for CBM</w:t>
      </w:r>
    </w:p>
    <w:p>
      <w:pPr>
        <w:spacing w:before="60" w:after="100"/>
      </w:pPr>
      <w:r>
        <w:rPr>
          <w:rFonts w:ascii="Arial" w:cs="Arial" w:eastAsia="Arial" w:hAnsi="Arial"/>
          <w:sz w:val="22"/>
          <w:szCs w:val="22"/>
        </w:rPr>
        <w:t xml:space="preserve">Fundraising is currently managed using spreadsheets by a team of 4-5 people. It has been characterized as a 'nice to have' — not a core CRM requirement. Event registration needs are similarly secondary.</w:t>
      </w:r>
    </w:p>
    <w:p>
      <w:pPr>
        <w:spacing w:before="60" w:after="60"/>
      </w:pPr>
      <w:r>
        <w:t xml:space="preserve"/>
      </w:r>
    </w:p>
    <w:p>
      <w:pPr>
        <w:spacing w:before="60" w:after="100"/>
      </w:pPr>
      <w:r>
        <w:rPr>
          <w:rFonts w:ascii="Arial" w:cs="Arial" w:eastAsia="Arial" w:hAnsi="Arial"/>
          <w:color w:val="444444"/>
          <w:sz w:val="22"/>
          <w:szCs w:val="22"/>
        </w:rPr>
        <w:t xml:space="preserve">For secondary needs of this nature, a purpose-built lightweight tool (such as Bloomerang, Little Green Light, or Donorbox for fundraising, and Eventbrite or similar for events) integrated alongside EspoCRM is a common and effective approach. This avoids compromising the primary platform's design for 50+ mentoring users in order to serve a secondary workflow for 4-5 users.</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8.  REST API and WordPress Integration</w:t>
      </w:r>
    </w:p>
    <w:p>
      <w:pPr>
        <w:spacing w:before="60" w:after="100"/>
      </w:pPr>
      <w:r>
        <w:rPr>
          <w:rFonts w:ascii="Arial" w:cs="Arial" w:eastAsia="Arial" w:hAnsi="Arial"/>
          <w:sz w:val="22"/>
          <w:szCs w:val="22"/>
        </w:rPr>
        <w:t xml:space="preserve">CBM's WordPress site will use an intake form to collect mentor and client applications, pushing data into the CRM via REST API.</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EspoCRM: </w:t>
      </w:r>
      <w:r>
        <w:rPr>
          <w:rFonts w:ascii="Arial" w:cs="Arial" w:eastAsia="Arial" w:hAnsi="Arial"/>
          <w:sz w:val="22"/>
          <w:szCs w:val="22"/>
        </w:rPr>
        <w:t xml:space="preserve">EspoCRM provides a well-documented REST API using standard JSON conventions. Integration from WordPress (via Gravity Forms or WPForms) is straightforward and follows common web development patterns.</w:t>
      </w:r>
    </w:p>
    <w:p>
      <w:pPr>
        <w:pStyle w:val="ListParagraph"/>
        <w:numPr>
          <w:ilvl w:val="0"/>
          <w:numId w:val="2"/>
        </w:numPr>
        <w:spacing w:before="40" w:after="40"/>
      </w:pPr>
      <w:r>
        <w:rPr>
          <w:rFonts w:ascii="Arial" w:cs="Arial" w:eastAsia="Arial" w:hAnsi="Arial"/>
          <w:b/>
          <w:bCs/>
          <w:sz w:val="22"/>
          <w:szCs w:val="22"/>
        </w:rPr>
        <w:t xml:space="preserve">CiviCRM: </w:t>
      </w:r>
      <w:r>
        <w:rPr>
          <w:rFonts w:ascii="Arial" w:cs="Arial" w:eastAsia="Arial" w:hAnsi="Arial"/>
          <w:sz w:val="22"/>
          <w:szCs w:val="22"/>
        </w:rPr>
        <w:t xml:space="preserve">CiviCRM has a REST API, but it uses a proprietary query syntax (CiviCRM API v3/v4) that differs significantly from standard REST conventions. Integration patterns are less standardized and require more specialized knowledge.</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9.  Community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EspoCRM</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CiviCRM</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Community Size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Growing — active forums and GitHub community.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 well-established nonprofit ecosystem.</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Nonprofit Focus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 general purpose.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strong — built for nonprofits.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Mentoring Use Case Support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configure from general CRM primitives — flexible but less documented.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Community knowledge centers on fundraising and member management — not mentoring.</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Commercial Support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Growing partner network.</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specialized CiviCRM consultants available.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Documentation Quality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improving.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Extensive but inconsistent.</w:t>
            </w:r>
          </w:p>
        </w:tc>
      </w:tr>
    </w:tbl>
    <w:p>
      <w:pPr>
        <w:spacing w:before="60" w:after="60"/>
      </w:pPr>
      <w:r>
        <w:t xml:space="preserve"/>
      </w:r>
    </w:p>
    <w:p>
      <w:pPr>
        <w:spacing w:before="60" w:after="100"/>
      </w:pPr>
      <w:r>
        <w:rPr>
          <w:rFonts w:ascii="Arial" w:cs="Arial" w:eastAsia="Arial" w:hAnsi="Arial"/>
          <w:sz w:val="22"/>
          <w:szCs w:val="22"/>
        </w:rPr>
        <w:t xml:space="preserve">Note: CiviCRM's larger nonprofit community does not provide a meaningful advantage for CBM's mentoring use case. Community knowledge is concentrated in fundraising and membership management — the same areas that are secondary priorities for CBM.</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10.  Cost Comparison</w:t>
      </w:r>
    </w:p>
    <w:p>
      <w:pPr>
        <w:spacing w:before="60" w:after="100"/>
      </w:pPr>
      <w:r>
        <w:rPr>
          <w:rFonts w:ascii="Arial" w:cs="Arial" w:eastAsia="Arial" w:hAnsi="Arial"/>
          <w:sz w:val="22"/>
          <w:szCs w:val="22"/>
        </w:rPr>
        <w:t xml:space="preserve">Both platforms are open source with no licensing fees. Hosting costs are comparable for both. EspoCRM has paid extensions (the Google Integration extension is required for Gmail OAuth). CiviCRM also has paid extensions for certain features. Neither platform presents a significant cost advantage for CBM's scale.</w:t>
      </w:r>
    </w:p>
    <w:p>
      <w:pPr>
        <w:spacing w:before="60" w:after="60"/>
      </w:pPr>
      <w:r>
        <w:t xml:space="preserve"/>
      </w:r>
    </w:p>
    <w:p>
      <w:r>
        <w:br w:type="page"/>
      </w:r>
    </w:p>
    <w:p>
      <w:pPr>
        <w:pBdr>
          <w:bottom w:val="single" w:color="2E75B6" w:sz="6" w:space="1"/>
        </w:pBdr>
        <w:shd w:fill="1F4E79" w:val="clear"/>
        <w:spacing w:before="200" w:after="120"/>
      </w:pPr>
      <w:r>
        <w:rPr>
          <w:rFonts w:ascii="Arial" w:cs="Arial" w:eastAsia="Arial" w:hAnsi="Arial"/>
          <w:b/>
          <w:bCs/>
          <w:color w:val="FFFFFF"/>
          <w:sz w:val="28"/>
          <w:szCs w:val="28"/>
        </w:rPr>
        <w:t xml:space="preserve">Final Recommendation</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Recommended Platform: EspoCRM</w:t>
      </w:r>
    </w:p>
    <w:p>
      <w:pPr>
        <w:spacing w:before="60" w:after="60"/>
      </w:pPr>
      <w:r>
        <w:t xml:space="preserve"/>
      </w:r>
    </w:p>
    <w:p>
      <w:pPr>
        <w:spacing w:before="60" w:after="100"/>
      </w:pPr>
      <w:r>
        <w:rPr>
          <w:rFonts w:ascii="Arial" w:cs="Arial" w:eastAsia="Arial" w:hAnsi="Arial"/>
          <w:sz w:val="22"/>
          <w:szCs w:val="22"/>
        </w:rPr>
        <w:t xml:space="preserve">EspoCRM is the recommended CRM platform for Cleveland Business Mentors based on the following factors: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CBM's primary operational mission — mentor-client relationship management — is best served by EspoCRM's flexible, configurable data model. The mentoring lifecycle, engagement tracking, session management, and mentor activation workflow can all be modeled natively without repurposing constructs designed for other use cases.</w:t>
      </w:r>
    </w:p>
    <w:p>
      <w:pPr>
        <w:pStyle w:val="ListParagraph"/>
        <w:numPr>
          <w:ilvl w:val="0"/>
          <w:numId w:val="2"/>
        </w:numPr>
        <w:spacing w:before="40" w:after="40"/>
      </w:pPr>
      <w:r>
        <w:rPr>
          <w:rFonts w:ascii="Arial" w:cs="Arial" w:eastAsia="Arial" w:hAnsi="Arial"/>
          <w:sz w:val="22"/>
          <w:szCs w:val="22"/>
        </w:rPr>
        <w:t xml:space="preserve">EspoCRM's per-user Google OAuth integration is a critical architectural requirement for CBM's Google Workspace-centric infrastructure. CiviCRM cannot support this model.</w:t>
      </w:r>
    </w:p>
    <w:p>
      <w:pPr>
        <w:pStyle w:val="ListParagraph"/>
        <w:numPr>
          <w:ilvl w:val="0"/>
          <w:numId w:val="2"/>
        </w:numPr>
        <w:spacing w:before="40" w:after="40"/>
      </w:pPr>
      <w:r>
        <w:rPr>
          <w:rFonts w:ascii="Arial" w:cs="Arial" w:eastAsia="Arial" w:hAnsi="Arial"/>
          <w:sz w:val="22"/>
          <w:szCs w:val="22"/>
        </w:rPr>
        <w:t xml:space="preserve">EspoCRM operates as a standalone application, maintaining the clean separation of systems in CBM's planned architecture. CiviCRM's dependency on a host CMS adds coupling and operational risk.</w:t>
      </w:r>
    </w:p>
    <w:p>
      <w:pPr>
        <w:pStyle w:val="ListParagraph"/>
        <w:numPr>
          <w:ilvl w:val="0"/>
          <w:numId w:val="2"/>
        </w:numPr>
        <w:spacing w:before="40" w:after="40"/>
      </w:pPr>
      <w:r>
        <w:rPr>
          <w:rFonts w:ascii="Arial" w:cs="Arial" w:eastAsia="Arial" w:hAnsi="Arial"/>
          <w:sz w:val="22"/>
          <w:szCs w:val="22"/>
        </w:rPr>
        <w:t xml:space="preserve">CiviCRM's strongest capabilities — fundraising, donor management, event registration — are secondary or 'nice to have' for CBM, and can be addressed through lightweight purpose-built tools that integrate alongside EspoCRM without compromising the primary platform.</w:t>
      </w:r>
    </w:p>
    <w:p>
      <w:pPr>
        <w:pStyle w:val="ListParagraph"/>
        <w:numPr>
          <w:ilvl w:val="0"/>
          <w:numId w:val="2"/>
        </w:numPr>
        <w:spacing w:before="40" w:after="40"/>
      </w:pPr>
      <w:r>
        <w:rPr>
          <w:rFonts w:ascii="Arial" w:cs="Arial" w:eastAsia="Arial" w:hAnsi="Arial"/>
          <w:sz w:val="22"/>
          <w:szCs w:val="22"/>
        </w:rPr>
        <w:t xml:space="preserve">Significant configuration work has already been completed in EspoCRM, including Contact modeling, Dynamic Logic panels, mentor lifecycle fields, and Google OAuth setup. This investment would be forfeited in any platform switch.</w:t>
      </w:r>
    </w:p>
    <w:p>
      <w:pPr>
        <w:spacing w:before="60" w:after="60"/>
      </w:pPr>
      <w:r>
        <w:t xml:space="preserve"/>
      </w:r>
    </w:p>
    <w:p>
      <w:pPr>
        <w:pStyle w:val="Heading2"/>
        <w:spacing w:before="280" w:after="100"/>
      </w:pPr>
      <w:r>
        <w:rPr>
          <w:rFonts w:ascii="Arial" w:cs="Arial" w:eastAsia="Arial" w:hAnsi="Arial"/>
          <w:b/>
          <w:bCs/>
          <w:color w:val="1F4E79"/>
          <w:sz w:val="26"/>
          <w:szCs w:val="26"/>
        </w:rPr>
        <w:t xml:space="preserve">Recommendation on Further CiviCRM Evaluation</w:t>
      </w:r>
    </w:p>
    <w:p>
      <w:pPr>
        <w:spacing w:before="60" w:after="100"/>
      </w:pPr>
      <w:r>
        <w:rPr>
          <w:rFonts w:ascii="Arial" w:cs="Arial" w:eastAsia="Arial" w:hAnsi="Arial"/>
          <w:sz w:val="22"/>
          <w:szCs w:val="22"/>
        </w:rPr>
        <w:t xml:space="preserve">A parallel in-depth evaluation of CiviCRM is not warranted at this time. The time and resource cost is high, and the analysis presented in this document indicates that CiviCRM's advantages do not align with CBM's current priorities.</w:t>
      </w:r>
    </w:p>
    <w:p>
      <w:pPr>
        <w:spacing w:before="60" w:after="60"/>
      </w:pPr>
      <w:r>
        <w:t xml:space="preserve"/>
      </w:r>
    </w:p>
    <w:p>
      <w:pPr>
        <w:spacing w:before="60" w:after="100"/>
      </w:pPr>
      <w:r>
        <w:rPr>
          <w:rFonts w:ascii="Arial" w:cs="Arial" w:eastAsia="Arial" w:hAnsi="Arial"/>
          <w:sz w:val="22"/>
          <w:szCs w:val="22"/>
        </w:rPr>
        <w:t xml:space="preserve">This recommendation should be revisited if CBM's fundraising or event management requirements materially increase in scope and a dedicated tool is insufficient to meet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Consider CiviCRM If...</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Remain with EspoCRM If...</w:t>
            </w:r>
          </w:p>
        </w:tc>
      </w:tr>
      <w:tr>
        <w:tc>
          <w:tcPr>
            <w:tcW w:type="dxa" w:w="46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Fundraising becomes a primary organizational CRM requirement involving pledges, recurring gifts, and formal donor acknowledgment workflows.</w:t>
            </w:r>
          </w:p>
        </w:tc>
        <w:tc>
          <w:tcPr>
            <w:tcW w:type="dxa" w:w="4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CBM's primary mission remains mentoring relationship management with fundraising as a secondary function.</w:t>
            </w:r>
          </w:p>
        </w:tc>
      </w:tr>
      <w:tr>
        <w:tc>
          <w:tcPr>
            <w:tcW w:type="dxa" w:w="46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Event registration becomes a high-volume, complex operational need that cannot be met by a standalone tool.</w:t>
            </w:r>
          </w:p>
        </w:tc>
        <w:tc>
          <w:tcPr>
            <w:tcW w:type="dxa" w:w="4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Per-user Gmail integration with Google Workspace remains a core architectural requirement.</w:t>
            </w:r>
          </w:p>
        </w:tc>
      </w:tr>
      <w:tr>
        <w:tc>
          <w:tcPr>
            <w:tcW w:type="dxa" w:w="468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The Google Workspace integration requirement is dropped and email management reverts to Gmail directly.</w:t>
            </w:r>
          </w:p>
        </w:tc>
        <w:tc>
          <w:tcPr>
            <w:tcW w:type="dxa" w:w="4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The organization continues to prioritize a clean, standalone CRM architecture with a modern user interface.</w:t>
            </w:r>
          </w:p>
        </w:tc>
      </w:tr>
    </w:tbl>
    <w:p>
      <w:pPr>
        <w:spacing w:before="60" w:after="60"/>
      </w:pPr>
      <w:r>
        <w:t xml:space="preserve"/>
      </w:r>
    </w:p>
    <w:p>
      <w:pPr>
        <w:spacing w:before="60" w:after="60"/>
      </w:pPr>
      <w:r>
        <w:t xml:space="preserve"/>
      </w:r>
    </w:p>
    <w:p>
      <w:pPr>
        <w:spacing w:before="60" w:after="100"/>
      </w:pPr>
      <w:r>
        <w:rPr>
          <w:rFonts w:ascii="Arial" w:cs="Arial" w:eastAsia="Arial" w:hAnsi="Arial"/>
          <w:color w:val="888888"/>
          <w:sz w:val="18"/>
          <w:szCs w:val="18"/>
        </w:rPr>
        <w:t xml:space="preserve">Document prepared by CBM Technology Committee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4E79"/>
        <w:sz w:val="20"/>
        <w:szCs w:val="20"/>
      </w:rPr>
      <w:t xml:space="preserve">Cleveland Business Mentors  |  CRM Platform Evaluation</w:t>
    </w:r>
    <w:r>
      <w:rPr>
        <w:rFonts w:ascii="Arial" w:cs="Arial" w:eastAsia="Arial" w:hAnsi="Arial"/>
        <w:color w:val="888888"/>
        <w:sz w:val="20"/>
        <w:szCs w:val="20"/>
      </w:rPr>
      <w:t xml:space="preserve">     EspoCRM vs. CiviCRM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4E79" w:val="clea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2026-03-17T19:43:47.472Z</dcterms:created>
  <dcterms:modified xsi:type="dcterms:W3CDTF">2026-03-17T19:43:47.473Z</dcterms:modified>
</cp:coreProperties>
</file>

<file path=docProps/custom.xml><?xml version="1.0" encoding="utf-8"?>
<Properties xmlns="http://schemas.openxmlformats.org/officeDocument/2006/custom-properties" xmlns:vt="http://schemas.openxmlformats.org/officeDocument/2006/docPropsVTypes"/>
</file>