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0.7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legal or operating name of the business.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sent to the client after a mentor has been assigned. The Phase 2 form is triggered by the mentor assignment workflow.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Many-to-One for each role. Each Engagement has one Assigned Mentor, optionally one Co-Mentor, and optionally one SME. All three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Mentor, Co-Mentor, and SME links are stored as separate relationship fields on the Engagement record — not as a single multi-value field — to support role-specific access control and capacity management.</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a co-mentor). System verifies the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