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0.8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sent to the client after a mentor has been assigned. The Phase 2 form is triggered by the mentor assignment workflow.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an optional co-mentor Contact record.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an optional subject matter expert Contact record.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Many-to-One for each role. Each Engagement has one Assigned Mentor, optionally one Co-Mentor, and optionally one SME. All three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Mentor, Co-Mentor, and SME links are stored as separate relationship fields on the Engagement record — not as a single multi-value field — to support role-specific access control and capacity management.</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a co-mentor). System verifies the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and New Business Started flag.</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