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04-07-26 04:30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 The Client account type does not have a lifecycle status field analogous to partnerStatus or funderStatus. The MN domain manages lifecycle at the Engagement level, not the Account level. Whether a client-level lifecycle field is needed will be determined during CR domain process definition. Carried forward from EI-ISS-007.</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Service Area field format: free text vs. controlled list of Northeast Ohio geographies has not been decided. Carried forward from CR-ISS-002.</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