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Post-Event Follow-Up and Conversion (CR-EVENTS-CONVERT)</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Workshops and Event Management (CR-EVENTS)</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CR-EVENTS-CONVERT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05-05-26 16:15</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CBM-SubDomain-Overview-Events.docx v1.0, CR-EVENTS-MANAGE.docx v1.0, CBM-SubDomain-Overview-Marketing.docx v1.2, CR-MARKETING-CAMPAIGNS.docx v1.0, CBM-Master-PRD.docx v2.5, Contact-Entity-PRD.docx v1.3, Account-Entity-PRD.docx v1.9, MN-INTAKE.docx v2.3</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cs="Arial" w:eastAsia="Arial" w:hAnsi="Arial"/>
          <w:b w:val="false"/>
          <w:bCs w:val="false"/>
          <w:i w:val="false"/>
          <w:iCs w:val="false"/>
          <w:sz w:val="22"/>
          <w:szCs w:val="22"/>
        </w:rPr>
        <w:t xml:space="preserve">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cs="Arial" w:eastAsia="Arial" w:hAnsi="Arial"/>
          <w:b w:val="false"/>
          <w:bCs w:val="false"/>
          <w:i w:val="false"/>
          <w:iCs w:val="false"/>
          <w:sz w:val="22"/>
          <w:szCs w:val="22"/>
        </w:rPr>
        <w:t xml:space="preserve">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1"/>
        <w:spacing w:after="120" w:before="360"/>
      </w:pPr>
      <w:r>
        <w:rPr>
          <w:rFonts w:ascii="Arial" w:cs="Arial" w:eastAsia="Arial" w:hAnsi="Arial"/>
          <w:b/>
          <w:bCs/>
          <w:i w:val="false"/>
          <w:iCs w:val="false"/>
          <w:sz w:val="32"/>
          <w:szCs w:val="32"/>
        </w:rPr>
        <w:t xml:space="preserve">2. Process Triggers</w:t>
      </w:r>
    </w:p>
    <w:p>
      <w:pPr>
        <w:spacing w:after="120"/>
      </w:pPr>
      <w:r>
        <w:rPr>
          <w:rFonts w:ascii="Arial" w:cs="Arial" w:eastAsia="Arial" w:hAnsi="Arial"/>
          <w:b w:val="false"/>
          <w:bCs w:val="false"/>
          <w:i w:val="false"/>
          <w:iCs w:val="false"/>
          <w:sz w:val="22"/>
          <w:szCs w:val="22"/>
        </w:rPr>
        <w:t xml:space="preserve">The process is triggered by three distinct conditions, each corresponding to one of its three activity streams.</w:t>
      </w:r>
    </w:p>
    <w:p>
      <w:pPr>
        <w:spacing w:after="40"/>
      </w:pPr>
      <w:r>
        <w:rPr>
          <w:rFonts w:ascii="Arial" w:cs="Arial" w:eastAsia="Arial" w:hAnsi="Arial"/>
          <w:b/>
          <w:bCs/>
          <w:i w:val="false"/>
          <w:iCs w:val="false"/>
          <w:sz w:val="22"/>
          <w:szCs w:val="22"/>
        </w:rPr>
        <w:t xml:space="preserve">Automated follow-up trigger.</w:t>
      </w:r>
    </w:p>
    <w:p>
      <w:pPr>
        <w:spacing w:after="120"/>
      </w:pPr>
      <w:r>
        <w:rPr>
          <w:rFonts w:ascii="Arial" w:cs="Arial" w:eastAsia="Arial" w:hAnsi="Arial"/>
          <w:b w:val="false"/>
          <w:bCs w:val="false"/>
          <w:i w:val="false"/>
          <w:iCs w:val="false"/>
          <w:sz w:val="22"/>
          <w:szCs w:val="22"/>
        </w:rPr>
        <w:t xml:space="preserve">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40"/>
      </w:pPr>
      <w:r>
        <w:rPr>
          <w:rFonts w:ascii="Arial" w:cs="Arial" w:eastAsia="Arial" w:hAnsi="Arial"/>
          <w:b/>
          <w:bCs/>
          <w:i w:val="false"/>
          <w:iCs w:val="false"/>
          <w:sz w:val="22"/>
          <w:szCs w:val="22"/>
        </w:rPr>
        <w:t xml:space="preserve">Conversion-push outreach trigger.</w:t>
      </w:r>
    </w:p>
    <w:p>
      <w:pPr>
        <w:spacing w:after="120"/>
      </w:pPr>
      <w:r>
        <w:rPr>
          <w:rFonts w:ascii="Arial" w:cs="Arial" w:eastAsia="Arial" w:hAnsi="Arial"/>
          <w:b w:val="false"/>
          <w:bCs w:val="false"/>
          <w:i w:val="false"/>
          <w:iCs w:val="false"/>
          <w:sz w:val="22"/>
          <w:szCs w:val="22"/>
        </w:rPr>
        <w:t xml:space="preserve">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40"/>
      </w:pPr>
      <w:r>
        <w:rPr>
          <w:rFonts w:ascii="Arial" w:cs="Arial" w:eastAsia="Arial" w:hAnsi="Arial"/>
          <w:b/>
          <w:bCs/>
          <w:i w:val="false"/>
          <w:iCs w:val="false"/>
          <w:sz w:val="22"/>
          <w:szCs w:val="22"/>
        </w:rPr>
        <w:t xml:space="preserve">Conversion detection and reporting trigger.</w:t>
      </w:r>
    </w:p>
    <w:p>
      <w:pPr>
        <w:spacing w:after="120"/>
      </w:pPr>
      <w:r>
        <w:rPr>
          <w:rFonts w:ascii="Arial" w:cs="Arial" w:eastAsia="Arial" w:hAnsi="Arial"/>
          <w:b w:val="false"/>
          <w:bCs w:val="false"/>
          <w:i w:val="false"/>
          <w:iCs w:val="false"/>
          <w:sz w:val="22"/>
          <w:szCs w:val="22"/>
        </w:rPr>
        <w:t xml:space="preserve">Conversion detection itself has no trigger — it is computed continuously at read time whenever a conversion report or the Contact detail view is displayed. Report consumption is triggered by the Administrator opening the appropriate report.</w:t>
      </w:r>
    </w:p>
    <w:p>
      <w:pPr>
        <w:spacing w:after="40"/>
      </w:pPr>
      <w:r>
        <w:rPr>
          <w:rFonts w:ascii="Arial" w:cs="Arial" w:eastAsia="Arial" w:hAnsi="Arial"/>
          <w:b/>
          <w:bCs/>
          <w:i w:val="false"/>
          <w:iCs w:val="false"/>
          <w:sz w:val="22"/>
          <w:szCs w:val="22"/>
        </w:rPr>
        <w:t xml:space="preserve">Preconditions and required data:</w:t>
      </w:r>
    </w:p>
    <w:p>
      <w:pPr>
        <w:pStyle w:val="ListParagraph"/>
        <w:numPr>
          <w:ilvl w:val="0"/>
          <w:numId w:val="2"/>
        </w:numPr>
        <w:spacing w:after="60"/>
      </w:pPr>
      <w:r>
        <w:rPr>
          <w:rFonts w:ascii="Arial" w:cs="Arial" w:eastAsia="Arial" w:hAnsi="Arial"/>
          <w:b w:val="false"/>
          <w:bCs w:val="false"/>
          <w:i w:val="false"/>
          <w:iCs w:val="false"/>
          <w:sz w:val="22"/>
          <w:szCs w:val="22"/>
        </w:rPr>
        <w:t xml:space="preserve">At least one Event must exist at any post-delivery status with Event Registrations at attendanceStatus = Attended or No-Show before the Send Post-Event Emails action has data to operate on.</w:t>
      </w:r>
    </w:p>
    <w:p>
      <w:pPr>
        <w:pStyle w:val="ListParagraph"/>
        <w:numPr>
          <w:ilvl w:val="0"/>
          <w:numId w:val="2"/>
        </w:numPr>
        <w:spacing w:after="60"/>
      </w:pPr>
      <w:r>
        <w:rPr>
          <w:rFonts w:ascii="Arial" w:cs="Arial" w:eastAsia="Arial" w:hAnsi="Arial"/>
          <w:b w:val="false"/>
          <w:bCs w:val="false"/>
          <w:i w:val="false"/>
          <w:iCs w:val="false"/>
          <w:sz w:val="22"/>
          <w:szCs w:val="22"/>
        </w:rPr>
        <w:t xml:space="preserve">For conversion-push outreach, at least one Contact must meet the unconverted-attendee criteria defined in Section 4.</w:t>
      </w:r>
    </w:p>
    <w:p>
      <w:pPr>
        <w:pStyle w:val="ListParagraph"/>
        <w:numPr>
          <w:ilvl w:val="0"/>
          <w:numId w:val="2"/>
        </w:numPr>
        <w:spacing w:after="60"/>
      </w:pPr>
      <w:r>
        <w:rPr>
          <w:rFonts w:ascii="Arial" w:cs="Arial" w:eastAsia="Arial" w:hAnsi="Arial"/>
          <w:b w:val="false"/>
          <w:bCs w:val="false"/>
          <w:i w:val="false"/>
          <w:iCs w:val="false"/>
          <w:sz w:val="22"/>
          <w:szCs w:val="22"/>
        </w:rPr>
        <w:t xml:space="preserve">For conversion reporting, Account.applicantSinceTimestamp must be populated by MN-INTAKE workflow when an Account’s clientStatus transitions to Applicant. This requirement depends on a targeted update to MN-INTAKE-REQ-011 documented in Section 10.</w:t>
      </w:r>
    </w:p>
    <w:p>
      <w:pPr>
        <w:pStyle w:val="ListParagraph"/>
        <w:numPr>
          <w:ilvl w:val="0"/>
          <w:numId w:val="2"/>
        </w:numPr>
        <w:spacing w:after="60"/>
      </w:pPr>
      <w:r>
        <w:rPr>
          <w:rFonts w:ascii="Arial" w:cs="Arial" w:eastAsia="Arial" w:hAnsi="Arial"/>
          <w:b w:val="false"/>
          <w:bCs w:val="false"/>
          <w:i w:val="false"/>
          <w:iCs w:val="false"/>
          <w:sz w:val="22"/>
          <w:szCs w:val="22"/>
        </w:rPr>
        <w:t xml:space="preserve">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cs="Arial" w:eastAsia="Arial" w:hAnsi="Arial"/>
          <w:b w:val="false"/>
          <w:bCs w:val="false"/>
          <w:i w:val="false"/>
          <w:iCs w:val="false"/>
          <w:sz w:val="22"/>
          <w:szCs w:val="22"/>
        </w:rPr>
        <w:t xml:space="preserve">Initiating persona: Content and Event Administrator (MST-PER-009) for all three activity streams.</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Content and Event Administrator (MST-PER-009) — Primary Operator</w:t>
      </w:r>
    </w:p>
    <w:p>
      <w:pPr>
        <w:spacing w:after="120"/>
      </w:pPr>
      <w:r>
        <w:rPr>
          <w:rFonts w:ascii="Arial" w:cs="Arial" w:eastAsia="Arial" w:hAnsi="Arial"/>
          <w:b w:val="false"/>
          <w:bCs w:val="false"/>
          <w:i w:val="false"/>
          <w:iCs w:val="false"/>
          <w:sz w:val="22"/>
          <w:szCs w:val="22"/>
        </w:rPr>
        <w:t xml:space="preserve">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40"/>
      </w:pPr>
      <w:r>
        <w:rPr>
          <w:rFonts w:ascii="Arial" w:cs="Arial" w:eastAsia="Arial" w:hAnsi="Arial"/>
          <w:b/>
          <w:bCs/>
          <w:i w:val="false"/>
          <w:iCs w:val="false"/>
          <w:sz w:val="22"/>
          <w:szCs w:val="22"/>
        </w:rPr>
        <w:t xml:space="preserve">Client Recruiter (MST-PER-007) — Downstream Consumer</w:t>
      </w:r>
    </w:p>
    <w:p>
      <w:pPr>
        <w:spacing w:after="120"/>
      </w:pPr>
      <w:r>
        <w:rPr>
          <w:rFonts w:ascii="Arial" w:cs="Arial" w:eastAsia="Arial" w:hAnsi="Arial"/>
          <w:b w:val="false"/>
          <w:bCs w:val="false"/>
          <w:i w:val="false"/>
          <w:iCs w:val="false"/>
          <w:sz w:val="22"/>
          <w:szCs w:val="22"/>
        </w:rPr>
        <w:t xml:space="preserve">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40"/>
      </w:pPr>
      <w:r>
        <w:rPr>
          <w:rFonts w:ascii="Arial" w:cs="Arial" w:eastAsia="Arial" w:hAnsi="Arial"/>
          <w:b/>
          <w:bCs/>
          <w:i w:val="false"/>
          <w:iCs w:val="false"/>
          <w:sz w:val="22"/>
          <w:szCs w:val="22"/>
        </w:rPr>
        <w:t xml:space="preserve">Client Administrator (MST-PER-003) — Handoff Target (External)</w:t>
      </w:r>
    </w:p>
    <w:p>
      <w:pPr>
        <w:spacing w:after="120"/>
      </w:pPr>
      <w:r>
        <w:rPr>
          <w:rFonts w:ascii="Arial" w:cs="Arial" w:eastAsia="Arial" w:hAnsi="Arial"/>
          <w:b w:val="false"/>
          <w:bCs w:val="false"/>
          <w:i w:val="false"/>
          <w:iCs w:val="false"/>
          <w:sz w:val="22"/>
          <w:szCs w:val="22"/>
        </w:rPr>
        <w:t xml:space="preserve">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40"/>
      </w:pPr>
      <w:r>
        <w:rPr>
          <w:rFonts w:ascii="Arial" w:cs="Arial" w:eastAsia="Arial" w:hAnsi="Arial"/>
          <w:b/>
          <w:bCs/>
          <w:i w:val="false"/>
          <w:iCs w:val="false"/>
          <w:sz w:val="22"/>
          <w:szCs w:val="22"/>
        </w:rPr>
        <w:t xml:space="preserve">Client (MST-PER-013) — Target (External)</w:t>
      </w:r>
    </w:p>
    <w:p>
      <w:pPr>
        <w:spacing w:after="120"/>
      </w:pPr>
      <w:r>
        <w:rPr>
          <w:rFonts w:ascii="Arial" w:cs="Arial" w:eastAsia="Arial" w:hAnsi="Arial"/>
          <w:b w:val="false"/>
          <w:bCs w:val="false"/>
          <w:i w:val="false"/>
          <w:iCs w:val="false"/>
          <w:sz w:val="22"/>
          <w:szCs w:val="22"/>
        </w:rPr>
        <w:t xml:space="preserve">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1"/>
        <w:spacing w:after="120" w:before="360"/>
      </w:pPr>
      <w:r>
        <w:rPr>
          <w:rFonts w:ascii="Arial" w:cs="Arial" w:eastAsia="Arial" w:hAnsi="Arial"/>
          <w:b/>
          <w:bCs/>
          <w:i w:val="false"/>
          <w:iCs w:val="false"/>
          <w:sz w:val="32"/>
          <w:szCs w:val="32"/>
        </w:rPr>
        <w:t xml:space="preserve">4. Process Workflow</w:t>
      </w:r>
    </w:p>
    <w:p>
      <w:pPr>
        <w:spacing w:after="120"/>
      </w:pPr>
      <w:r>
        <w:rPr>
          <w:rFonts w:ascii="Arial" w:cs="Arial" w:eastAsia="Arial" w:hAnsi="Arial"/>
          <w:b w:val="false"/>
          <w:bCs w:val="false"/>
          <w:i w:val="false"/>
          <w:iCs w:val="false"/>
          <w:sz w:val="22"/>
          <w:szCs w:val="22"/>
        </w:rPr>
        <w:t xml:space="preserve">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2"/>
        <w:spacing w:after="120" w:before="240"/>
      </w:pPr>
      <w:r>
        <w:rPr>
          <w:rFonts w:ascii="Arial" w:cs="Arial" w:eastAsia="Arial" w:hAnsi="Arial"/>
          <w:b/>
          <w:bCs/>
          <w:i w:val="false"/>
          <w:iCs w:val="false"/>
          <w:sz w:val="28"/>
          <w:szCs w:val="28"/>
        </w:rPr>
        <w:t xml:space="preserve">4.1 Automated Post-Event Follow-Up</w:t>
      </w:r>
    </w:p>
    <w:p>
      <w:pPr>
        <w:pStyle w:val="ListParagraph"/>
        <w:numPr>
          <w:ilvl w:val="0"/>
          <w:numId w:val="3"/>
        </w:numPr>
        <w:spacing w:after="80"/>
      </w:pPr>
      <w:r>
        <w:rPr>
          <w:rFonts w:ascii="Arial" w:cs="Arial" w:eastAsia="Arial" w:hAnsi="Arial"/>
          <w:b w:val="false"/>
          <w:bCs w:val="false"/>
          <w:i w:val="false"/>
          <w:iCs w:val="false"/>
          <w:sz w:val="22"/>
          <w:szCs w:val="22"/>
        </w:rPr>
        <w:t xml:space="preserve">After the event has concluded and the Content and Event Administrator has recorded attendance on its Event Registrations through the mechanisms defined in CR-EVENTS-MANAGE, the Administrator opens the Event detail view and invokes the Send Post-Event Emails action.</w:t>
      </w:r>
    </w:p>
    <w:p>
      <w:pPr>
        <w:pStyle w:val="ListParagraph"/>
        <w:numPr>
          <w:ilvl w:val="0"/>
          <w:numId w:val="3"/>
        </w:numPr>
        <w:spacing w:after="80"/>
      </w:pPr>
      <w:r>
        <w:rPr>
          <w:rFonts w:ascii="Arial" w:cs="Arial" w:eastAsia="Arial" w:hAnsi="Arial"/>
          <w:b w:val="false"/>
          <w:bCs w:val="false"/>
          <w:i w:val="false"/>
          <w:iCs w:val="false"/>
          <w:sz w:val="22"/>
          <w:szCs w:val="22"/>
        </w:rPr>
        <w:t xml:space="preserve">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pStyle w:val="ListParagraph"/>
        <w:numPr>
          <w:ilvl w:val="0"/>
          <w:numId w:val="3"/>
        </w:numPr>
        <w:spacing w:after="80"/>
      </w:pPr>
      <w:r>
        <w:rPr>
          <w:rFonts w:ascii="Arial" w:cs="Arial" w:eastAsia="Arial" w:hAnsi="Arial"/>
          <w:b w:val="false"/>
          <w:bCs w:val="false"/>
          <w:i w:val="false"/>
          <w:iCs w:val="false"/>
          <w:sz w:val="22"/>
          <w:szCs w:val="22"/>
        </w:rPr>
        <w:t xml:space="preserve">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pStyle w:val="ListParagraph"/>
        <w:numPr>
          <w:ilvl w:val="0"/>
          <w:numId w:val="3"/>
        </w:numPr>
        <w:spacing w:after="80"/>
      </w:pPr>
      <w:r>
        <w:rPr>
          <w:rFonts w:ascii="Arial" w:cs="Arial" w:eastAsia="Arial" w:hAnsi="Arial"/>
          <w:b w:val="false"/>
          <w:bCs w:val="false"/>
          <w:i w:val="false"/>
          <w:iCs w:val="false"/>
          <w:sz w:val="22"/>
          <w:szCs w:val="22"/>
        </w:rPr>
        <w:t xml:space="preserve">For Event Registrations at attendanceStatus = No-Show, the system dispatches the Post-Event We-Missed-You email. The template substitutes the same Event and Contact variables plus a we-missed-you-specific message and the recording link when available.</w:t>
      </w:r>
    </w:p>
    <w:p>
      <w:pPr>
        <w:pStyle w:val="ListParagraph"/>
        <w:numPr>
          <w:ilvl w:val="0"/>
          <w:numId w:val="3"/>
        </w:numPr>
        <w:spacing w:after="80"/>
      </w:pPr>
      <w:r>
        <w:rPr>
          <w:rFonts w:ascii="Arial" w:cs="Arial" w:eastAsia="Arial" w:hAnsi="Arial"/>
          <w:b w:val="false"/>
          <w:bCs w:val="false"/>
          <w:i w:val="false"/>
          <w:iCs w:val="false"/>
          <w:sz w:val="22"/>
          <w:szCs w:val="22"/>
        </w:rPr>
        <w:t xml:space="preserve">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pStyle w:val="ListParagraph"/>
        <w:numPr>
          <w:ilvl w:val="0"/>
          <w:numId w:val="3"/>
        </w:numPr>
        <w:spacing w:after="80"/>
      </w:pPr>
      <w:r>
        <w:rPr>
          <w:rFonts w:ascii="Arial" w:cs="Arial" w:eastAsia="Arial" w:hAnsi="Arial"/>
          <w:b w:val="false"/>
          <w:bCs w:val="false"/>
          <w:i w:val="false"/>
          <w:iCs w:val="false"/>
          <w:sz w:val="22"/>
          <w:szCs w:val="22"/>
        </w:rPr>
        <w:t xml:space="preserve">For each Event Registration the action dispatches, the system writes postEventFollowUpSentAt with the dispatch timestamp. This field enforces idempotency on subsequent re-runs of the action.</w:t>
      </w:r>
    </w:p>
    <w:p>
      <w:pPr>
        <w:pStyle w:val="ListParagraph"/>
        <w:numPr>
          <w:ilvl w:val="0"/>
          <w:numId w:val="3"/>
        </w:numPr>
        <w:spacing w:after="80"/>
      </w:pPr>
      <w:r>
        <w:rPr>
          <w:rFonts w:ascii="Arial" w:cs="Arial" w:eastAsia="Arial" w:hAnsi="Arial"/>
          <w:b w:val="false"/>
          <w:bCs w:val="false"/>
          <w:i w:val="false"/>
          <w:iCs w:val="false"/>
          <w:sz w:val="22"/>
          <w:szCs w:val="22"/>
        </w:rPr>
        <w:t xml:space="preserve">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pStyle w:val="ListParagraph"/>
        <w:numPr>
          <w:ilvl w:val="0"/>
          <w:numId w:val="3"/>
        </w:numPr>
        <w:spacing w:after="80"/>
      </w:pPr>
      <w:r>
        <w:rPr>
          <w:rFonts w:ascii="Arial" w:cs="Arial" w:eastAsia="Arial" w:hAnsi="Arial"/>
          <w:b w:val="false"/>
          <w:bCs w:val="false"/>
          <w:i w:val="false"/>
          <w:iCs w:val="false"/>
          <w:sz w:val="22"/>
          <w:szCs w:val="22"/>
        </w:rPr>
        <w:t xml:space="preserve">All post-event follow-up emails are sent from the dedicated CBM operational events address configured at implementation time, the same sending address used by CR-EVENTS-MANAGE transactional communications.</w:t>
      </w:r>
    </w:p>
    <w:p>
      <w:pPr>
        <w:pStyle w:val="ListParagraph"/>
        <w:numPr>
          <w:ilvl w:val="0"/>
          <w:numId w:val="3"/>
        </w:numPr>
        <w:spacing w:after="80"/>
      </w:pPr>
      <w:r>
        <w:rPr>
          <w:rFonts w:ascii="Arial" w:cs="Arial" w:eastAsia="Arial" w:hAnsi="Arial"/>
          <w:b w:val="false"/>
          <w:bCs w:val="false"/>
          <w:i w:val="false"/>
          <w:iCs w:val="false"/>
          <w:sz w:val="22"/>
          <w:szCs w:val="22"/>
        </w:rPr>
        <w:t xml:space="preserve">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2"/>
        <w:spacing w:after="120" w:before="240"/>
      </w:pPr>
      <w:r>
        <w:rPr>
          <w:rFonts w:ascii="Arial" w:cs="Arial" w:eastAsia="Arial" w:hAnsi="Arial"/>
          <w:b/>
          <w:bCs/>
          <w:i w:val="false"/>
          <w:iCs w:val="false"/>
          <w:sz w:val="28"/>
          <w:szCs w:val="28"/>
        </w:rPr>
        <w:t xml:space="preserve">4.2 Conversion-Push Outreach</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pStyle w:val="ListParagraph"/>
        <w:numPr>
          <w:ilvl w:val="0"/>
          <w:numId w:val="3"/>
        </w:numPr>
        <w:spacing w:after="80"/>
      </w:pPr>
      <w:r>
        <w:rPr>
          <w:rFonts w:ascii="Arial" w:cs="Arial" w:eastAsia="Arial" w:hAnsi="Arial"/>
          <w:b w:val="false"/>
          <w:bCs w:val="false"/>
          <w:i w:val="false"/>
          <w:iCs w:val="false"/>
          <w:sz w:val="22"/>
          <w:szCs w:val="22"/>
        </w:rPr>
        <w:t xml:space="preserve">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pre-fills the selected template with variables substituted from the selected Contacts and, when applicable, a manually referenced Event. The Administrator may edit the body text before sending; this is the template-with-override workflow.</w:t>
      </w:r>
    </w:p>
    <w:p>
      <w:pPr>
        <w:pStyle w:val="ListParagraph"/>
        <w:numPr>
          <w:ilvl w:val="0"/>
          <w:numId w:val="3"/>
        </w:numPr>
        <w:spacing w:after="80"/>
      </w:pPr>
      <w:r>
        <w:rPr>
          <w:rFonts w:ascii="Arial" w:cs="Arial" w:eastAsia="Arial" w:hAnsi="Arial"/>
          <w:b w:val="false"/>
          <w:bCs w:val="false"/>
          <w:i w:val="false"/>
          <w:iCs w:val="false"/>
          <w:sz w:val="22"/>
          <w:szCs w:val="22"/>
        </w:rPr>
        <w:t xml:space="preserve">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pStyle w:val="ListParagraph"/>
        <w:numPr>
          <w:ilvl w:val="0"/>
          <w:numId w:val="3"/>
        </w:numPr>
        <w:spacing w:after="80"/>
      </w:pPr>
      <w:r>
        <w:rPr>
          <w:rFonts w:ascii="Arial" w:cs="Arial" w:eastAsia="Arial" w:hAnsi="Arial"/>
          <w:b w:val="false"/>
          <w:bCs w:val="false"/>
          <w:i w:val="false"/>
          <w:iCs w:val="false"/>
          <w:sz w:val="22"/>
          <w:szCs w:val="22"/>
        </w:rPr>
        <w:t xml:space="preserve">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pStyle w:val="ListParagraph"/>
        <w:numPr>
          <w:ilvl w:val="0"/>
          <w:numId w:val="3"/>
        </w:numPr>
        <w:spacing w:after="80"/>
      </w:pPr>
      <w:r>
        <w:rPr>
          <w:rFonts w:ascii="Arial" w:cs="Arial" w:eastAsia="Arial" w:hAnsi="Arial"/>
          <w:b w:val="false"/>
          <w:bCs w:val="false"/>
          <w:i w:val="false"/>
          <w:iCs w:val="false"/>
          <w:sz w:val="22"/>
          <w:szCs w:val="22"/>
        </w:rPr>
        <w:t xml:space="preserve">The Administrator repeats the conversion-push cycle at their discretion. There is no system-enforced cadence and no per-Contact send-frequency limit in v1.0. The Administrator’s judgment governs how often the same Contact is contacted.</w:t>
      </w:r>
    </w:p>
    <w:p>
      <w:pPr>
        <w:pStyle w:val="Heading2"/>
        <w:spacing w:after="120" w:before="240"/>
      </w:pPr>
      <w:r>
        <w:rPr>
          <w:rFonts w:ascii="Arial" w:cs="Arial" w:eastAsia="Arial" w:hAnsi="Arial"/>
          <w:b/>
          <w:bCs/>
          <w:i w:val="false"/>
          <w:iCs w:val="false"/>
          <w:sz w:val="28"/>
          <w:szCs w:val="28"/>
        </w:rPr>
        <w:t xml:space="preserve">4.3 Conversion Detection and Reporting</w:t>
      </w:r>
    </w:p>
    <w:p>
      <w:pPr>
        <w:pStyle w:val="ListParagraph"/>
        <w:numPr>
          <w:ilvl w:val="0"/>
          <w:numId w:val="3"/>
        </w:numPr>
        <w:spacing w:after="80"/>
      </w:pPr>
      <w:r>
        <w:rPr>
          <w:rFonts w:ascii="Arial" w:cs="Arial" w:eastAsia="Arial" w:hAnsi="Arial"/>
          <w:b w:val="false"/>
          <w:bCs w:val="false"/>
          <w:i w:val="false"/>
          <w:iCs w:val="false"/>
          <w:sz w:val="22"/>
          <w:szCs w:val="22"/>
        </w:rPr>
        <w:t xml:space="preserve">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pStyle w:val="ListParagraph"/>
        <w:numPr>
          <w:ilvl w:val="0"/>
          <w:numId w:val="3"/>
        </w:numPr>
        <w:spacing w:after="80"/>
      </w:pPr>
      <w:r>
        <w:rPr>
          <w:rFonts w:ascii="Arial" w:cs="Arial" w:eastAsia="Arial" w:hAnsi="Arial"/>
          <w:b w:val="false"/>
          <w:bCs w:val="false"/>
          <w:i w:val="false"/>
          <w:iCs w:val="false"/>
          <w:sz w:val="22"/>
          <w:szCs w:val="22"/>
        </w:rPr>
        <w:t xml:space="preserve">No stored conversion field exists on any entity. No workflow trigger maintains a computed field. No scheduled job materializes a summary table. The computation happens at query time every time.</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Contact detail view displays a read-only Conversion Status indicator with one of three values: Converted (displayed with the Account’s applicantSinceTimestamp date), Not Converted (Contact has at least one Attended Event Registration but no applicant-stage Account), or Not An Event Attendee (Contact has no Event Registration at attendanceStatus = Attended).</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conversion date used throughout this process and all conversion reports is Account.applicantSinceTimestamp — a new Account field that MN-INTAKE workflow must system-populate when an Account’s clientStatus transitions to Applicant. The Account Entity PRD and MN-INTAKE-REQ-011 require carry-forward updates to reflect this dependency, documented in Section 10.</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conversion window is the elapsed time between Event.dateEnd and Account.applicantSinceTimestamp. The default window is 180 days. All conversion reports accept a per-report override on the window parameter.</w:t>
      </w:r>
    </w:p>
    <w:p>
      <w:pPr>
        <w:pStyle w:val="ListParagraph"/>
        <w:numPr>
          <w:ilvl w:val="0"/>
          <w:numId w:val="3"/>
        </w:numPr>
        <w:spacing w:after="80"/>
      </w:pPr>
      <w:r>
        <w:rPr>
          <w:rFonts w:ascii="Arial" w:cs="Arial" w:eastAsia="Arial" w:hAnsi="Arial"/>
          <w:b w:val="false"/>
          <w:bCs w:val="false"/>
          <w:i w:val="false"/>
          <w:iCs w:val="false"/>
          <w:sz w:val="22"/>
          <w:szCs w:val="22"/>
        </w:rPr>
        <w:t xml:space="preserve">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pStyle w:val="ListParagraph"/>
        <w:numPr>
          <w:ilvl w:val="0"/>
          <w:numId w:val="3"/>
        </w:numPr>
        <w:spacing w:after="80"/>
      </w:pPr>
      <w:r>
        <w:rPr>
          <w:rFonts w:ascii="Arial" w:cs="Arial" w:eastAsia="Arial" w:hAnsi="Arial"/>
          <w:b w:val="false"/>
          <w:bCs w:val="false"/>
          <w:i w:val="false"/>
          <w:iCs w:val="false"/>
          <w:sz w:val="22"/>
          <w:szCs w:val="22"/>
        </w:rPr>
        <w:t xml:space="preserve">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(Account.applicantSinceTimestamp minus Event.dateEnd) across the converted Contacts in the grouping.</w:t>
      </w:r>
    </w:p>
    <w:p>
      <w:pPr>
        <w:pStyle w:val="ListParagraph"/>
        <w:numPr>
          <w:ilvl w:val="0"/>
          <w:numId w:val="3"/>
        </w:numPr>
        <w:spacing w:after="80"/>
      </w:pPr>
      <w:r>
        <w:rPr>
          <w:rFonts w:ascii="Arial" w:cs="Arial" w:eastAsia="Arial" w:hAnsi="Arial"/>
          <w:b w:val="false"/>
          <w:bCs w:val="false"/>
          <w:i w:val="false"/>
          <w:iCs w:val="false"/>
          <w:sz w:val="22"/>
          <w:szCs w:val="22"/>
        </w:rPr>
        <w:t xml:space="preserve">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pStyle w:val="ListParagraph"/>
        <w:numPr>
          <w:ilvl w:val="0"/>
          <w:numId w:val="3"/>
        </w:numPr>
        <w:spacing w:after="80"/>
      </w:pPr>
      <w:r>
        <w:rPr>
          <w:rFonts w:ascii="Arial" w:cs="Arial" w:eastAsia="Arial" w:hAnsi="Arial"/>
          <w:b w:val="false"/>
          <w:bCs w:val="false"/>
          <w:i w:val="false"/>
          <w:iCs w:val="false"/>
          <w:sz w:val="22"/>
          <w:szCs w:val="22"/>
        </w:rPr>
        <w:t xml:space="preserve">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2"/>
        <w:spacing w:after="120" w:before="240"/>
      </w:pPr>
      <w:r>
        <w:rPr>
          <w:rFonts w:ascii="Arial" w:cs="Arial" w:eastAsia="Arial" w:hAnsi="Arial"/>
          <w:b/>
          <w:bCs/>
          <w:i w:val="false"/>
          <w:iCs w:val="false"/>
          <w:sz w:val="28"/>
          <w:szCs w:val="28"/>
        </w:rPr>
        <w:t xml:space="preserve">4.4 Reactivation Handoff</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maintains a saved Contact list titled Reactivation Candidates — Event Attendees. The list is computed on read; no flag, no status change, no stored marker on any record records membership.</w:t>
      </w:r>
    </w:p>
    <w:p>
      <w:pPr>
        <w:pStyle w:val="ListParagraph"/>
        <w:numPr>
          <w:ilvl w:val="0"/>
          <w:numId w:val="3"/>
        </w:numPr>
        <w:spacing w:after="80"/>
      </w:pPr>
      <w:r>
        <w:rPr>
          <w:rFonts w:ascii="Arial" w:cs="Arial" w:eastAsia="Arial" w:hAnsi="Arial"/>
          <w:b w:val="false"/>
          <w:bCs w:val="false"/>
          <w:i w:val="false"/>
          <w:iCs w:val="false"/>
          <w:sz w:val="22"/>
          <w:szCs w:val="22"/>
        </w:rPr>
        <w:t xml:space="preserve">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pStyle w:val="ListParagraph"/>
        <w:numPr>
          <w:ilvl w:val="0"/>
          <w:numId w:val="3"/>
        </w:numPr>
        <w:spacing w:after="80"/>
      </w:pPr>
      <w:r>
        <w:rPr>
          <w:rFonts w:ascii="Arial" w:cs="Arial" w:eastAsia="Arial" w:hAnsi="Arial"/>
          <w:b w:val="false"/>
          <w:bCs w:val="false"/>
          <w:i w:val="false"/>
          <w:iCs w:val="false"/>
          <w:sz w:val="22"/>
          <w:szCs w:val="22"/>
        </w:rPr>
        <w:t xml:space="preserve">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pStyle w:val="ListParagraph"/>
        <w:numPr>
          <w:ilvl w:val="0"/>
          <w:numId w:val="3"/>
        </w:numPr>
        <w:spacing w:after="80"/>
      </w:pPr>
      <w:r>
        <w:rPr>
          <w:rFonts w:ascii="Arial" w:cs="Arial" w:eastAsia="Arial" w:hAnsi="Arial"/>
          <w:b w:val="false"/>
          <w:bCs w:val="false"/>
          <w:i w:val="false"/>
          <w:iCs w:val="false"/>
          <w:sz w:val="22"/>
          <w:szCs w:val="22"/>
        </w:rPr>
        <w:t xml:space="preserve">There is no manual handoff action. The Content and Event Administrator does not approve or release individual Contacts to the list. The list is a query result, and Contacts appear and disappear based on data state.</w:t>
      </w:r>
    </w:p>
    <w:p>
      <w:pPr>
        <w:pStyle w:val="ListParagraph"/>
        <w:numPr>
          <w:ilvl w:val="0"/>
          <w:numId w:val="3"/>
        </w:numPr>
        <w:spacing w:after="80"/>
      </w:pPr>
      <w:r>
        <w:rPr>
          <w:rFonts w:ascii="Arial" w:cs="Arial" w:eastAsia="Arial" w:hAnsi="Arial"/>
          <w:b w:val="false"/>
          <w:bCs w:val="false"/>
          <w:i w:val="false"/>
          <w:iCs w:val="false"/>
          <w:sz w:val="22"/>
          <w:szCs w:val="22"/>
        </w:rPr>
        <w:t xml:space="preserve">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2"/>
        <w:spacing w:after="120" w:before="240"/>
      </w:pPr>
      <w:r>
        <w:rPr>
          <w:rFonts w:ascii="Arial" w:cs="Arial" w:eastAsia="Arial" w:hAnsi="Arial"/>
          <w:b/>
          <w:bCs/>
          <w:i w:val="false"/>
          <w:iCs w:val="false"/>
          <w:sz w:val="28"/>
          <w:szCs w:val="28"/>
        </w:rPr>
        <w:t xml:space="preserve">4.5 Cross-Sub-Domain Reporting Contribution</w:t>
      </w:r>
    </w:p>
    <w:p>
      <w:pPr>
        <w:spacing w:after="120"/>
      </w:pPr>
      <w:r>
        <w:rPr>
          <w:rFonts w:ascii="Arial" w:cs="Arial" w:eastAsia="Arial" w:hAnsi="Arial"/>
          <w:b w:val="false"/>
          <w:bCs w:val="false"/>
          <w:i w:val="false"/>
          <w:iCs w:val="false"/>
          <w:sz w:val="22"/>
          <w:szCs w:val="22"/>
        </w:rPr>
        <w:t xml:space="preserve">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1"/>
        <w:spacing w:after="120" w:before="36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 (Per Event)</w:t>
      </w:r>
    </w:p>
    <w:p>
      <w:pPr>
        <w:spacing w:after="120"/>
      </w:pPr>
      <w:r>
        <w:rPr>
          <w:rFonts w:ascii="Arial" w:cs="Arial" w:eastAsia="Arial" w:hAnsi="Arial"/>
          <w:b w:val="false"/>
          <w:bCs w:val="false"/>
          <w:i w:val="false"/>
          <w:iCs w:val="false"/>
          <w:sz w:val="22"/>
          <w:szCs w:val="22"/>
        </w:rPr>
        <w:t xml:space="preserve">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40"/>
      </w:pPr>
      <w:r>
        <w:rPr>
          <w:rFonts w:ascii="Arial" w:cs="Arial" w:eastAsia="Arial" w:hAnsi="Arial"/>
          <w:b/>
          <w:bCs/>
          <w:i w:val="false"/>
          <w:iCs w:val="false"/>
          <w:sz w:val="22"/>
          <w:szCs w:val="22"/>
        </w:rPr>
        <w:t xml:space="preserve">Continuous Operation (Process Level)</w:t>
      </w:r>
    </w:p>
    <w:p>
      <w:pPr>
        <w:spacing w:after="120"/>
      </w:pPr>
      <w:r>
        <w:rPr>
          <w:rFonts w:ascii="Arial" w:cs="Arial" w:eastAsia="Arial" w:hAnsi="Arial"/>
          <w:b w:val="false"/>
          <w:bCs w:val="false"/>
          <w:i w:val="false"/>
          <w:iCs w:val="false"/>
          <w:sz w:val="22"/>
          <w:szCs w:val="22"/>
        </w:rPr>
        <w:t xml:space="preserve">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40"/>
      </w:pPr>
      <w:r>
        <w:rPr>
          <w:rFonts w:ascii="Arial" w:cs="Arial" w:eastAsia="Arial" w:hAnsi="Arial"/>
          <w:b/>
          <w:bCs/>
          <w:i w:val="false"/>
          <w:iCs w:val="false"/>
          <w:sz w:val="22"/>
          <w:szCs w:val="22"/>
        </w:rPr>
        <w:t xml:space="preserve">Alternative End States</w:t>
      </w:r>
    </w:p>
    <w:p>
      <w:pPr>
        <w:spacing w:after="40"/>
      </w:pPr>
      <w:r>
        <w:rPr>
          <w:rFonts w:ascii="Arial" w:cs="Arial" w:eastAsia="Arial" w:hAnsi="Arial"/>
          <w:b/>
          <w:bCs/>
          <w:i w:val="false"/>
          <w:iCs w:val="false"/>
          <w:sz w:val="22"/>
          <w:szCs w:val="22"/>
        </w:rPr>
        <w:t xml:space="preserve">Cancelled Event — No Handoff to Post-Event Follow-Up.</w:t>
      </w:r>
    </w:p>
    <w:p>
      <w:pPr>
        <w:spacing w:after="120"/>
      </w:pPr>
      <w:r>
        <w:rPr>
          <w:rFonts w:ascii="Arial" w:cs="Arial" w:eastAsia="Arial" w:hAnsi="Arial"/>
          <w:b w:val="false"/>
          <w:bCs w:val="false"/>
          <w:i w:val="false"/>
          <w:iCs w:val="false"/>
          <w:sz w:val="22"/>
          <w:szCs w:val="22"/>
        </w:rPr>
        <w:t xml:space="preserve">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40"/>
      </w:pPr>
      <w:r>
        <w:rPr>
          <w:rFonts w:ascii="Arial" w:cs="Arial" w:eastAsia="Arial" w:hAnsi="Arial"/>
          <w:b/>
          <w:bCs/>
          <w:i w:val="false"/>
          <w:iCs w:val="false"/>
          <w:sz w:val="22"/>
          <w:szCs w:val="22"/>
        </w:rPr>
        <w:t xml:space="preserve">Event with No Attendance Recorded — No Follow-Up, Delayed Reactivation.</w:t>
      </w:r>
    </w:p>
    <w:p>
      <w:pPr>
        <w:spacing w:after="120"/>
      </w:pPr>
      <w:r>
        <w:rPr>
          <w:rFonts w:ascii="Arial" w:cs="Arial" w:eastAsia="Arial" w:hAnsi="Arial"/>
          <w:b w:val="false"/>
          <w:bCs w:val="false"/>
          <w:i w:val="false"/>
          <w:iCs w:val="false"/>
          <w:sz w:val="22"/>
          <w:szCs w:val="22"/>
        </w:rPr>
        <w:t xml:space="preserve">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40"/>
      </w:pPr>
      <w:r>
        <w:rPr>
          <w:rFonts w:ascii="Arial" w:cs="Arial" w:eastAsia="Arial" w:hAnsi="Arial"/>
          <w:b/>
          <w:bCs/>
          <w:i w:val="false"/>
          <w:iCs w:val="false"/>
          <w:sz w:val="22"/>
          <w:szCs w:val="22"/>
        </w:rPr>
        <w:t xml:space="preserve">Early Termination</w:t>
      </w:r>
    </w:p>
    <w:p>
      <w:pPr>
        <w:spacing w:after="120"/>
      </w:pPr>
      <w:r>
        <w:rPr>
          <w:rFonts w:ascii="Arial" w:cs="Arial" w:eastAsia="Arial" w:hAnsi="Arial"/>
          <w:b w:val="false"/>
          <w:bCs w:val="false"/>
          <w:i w:val="false"/>
          <w:iCs w:val="false"/>
          <w:sz w:val="22"/>
          <w:szCs w:val="22"/>
        </w:rPr>
        <w:t xml:space="preserve">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40"/>
      </w:pPr>
      <w:r>
        <w:rPr>
          <w:rFonts w:ascii="Arial" w:cs="Arial" w:eastAsia="Arial" w:hAnsi="Arial"/>
          <w:b/>
          <w:bCs/>
          <w:i w:val="false"/>
          <w:iCs w:val="false"/>
          <w:sz w:val="22"/>
          <w:szCs w:val="22"/>
        </w:rPr>
        <w:t xml:space="preserve">Post-Completion Handoffs</w:t>
      </w:r>
    </w:p>
    <w:p>
      <w:pPr>
        <w:spacing w:after="40"/>
      </w:pPr>
      <w:r>
        <w:rPr>
          <w:rFonts w:ascii="Arial" w:cs="Arial" w:eastAsia="Arial" w:hAnsi="Arial"/>
          <w:b/>
          <w:bCs/>
          <w:i w:val="false"/>
          <w:iCs w:val="false"/>
          <w:sz w:val="22"/>
          <w:szCs w:val="22"/>
        </w:rPr>
        <w:t xml:space="preserve">Handoff to CR-REACTIVATE.</w:t>
      </w:r>
    </w:p>
    <w:p>
      <w:pPr>
        <w:spacing w:after="120"/>
      </w:pPr>
      <w:r>
        <w:rPr>
          <w:rFonts w:ascii="Arial" w:cs="Arial" w:eastAsia="Arial" w:hAnsi="Arial"/>
          <w:b w:val="false"/>
          <w:bCs w:val="false"/>
          <w:i w:val="false"/>
          <w:iCs w:val="false"/>
          <w:sz w:val="22"/>
          <w:szCs w:val="22"/>
        </w:rPr>
        <w:t xml:space="preserve">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40"/>
      </w:pPr>
      <w:r>
        <w:rPr>
          <w:rFonts w:ascii="Arial" w:cs="Arial" w:eastAsia="Arial" w:hAnsi="Arial"/>
          <w:b/>
          <w:bCs/>
          <w:i w:val="false"/>
          <w:iCs w:val="false"/>
          <w:sz w:val="22"/>
          <w:szCs w:val="22"/>
        </w:rPr>
        <w:t xml:space="preserve">Handoff to MN-INTAKE.</w:t>
      </w:r>
    </w:p>
    <w:p>
      <w:pPr>
        <w:spacing w:after="120"/>
      </w:pPr>
      <w:r>
        <w:rPr>
          <w:rFonts w:ascii="Arial" w:cs="Arial" w:eastAsia="Arial" w:hAnsi="Arial"/>
          <w:b w:val="false"/>
          <w:bCs w:val="false"/>
          <w:i w:val="false"/>
          <w:iCs w:val="false"/>
          <w:sz w:val="22"/>
          <w:szCs w:val="22"/>
        </w:rPr>
        <w:t xml:space="preserve">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Account.applicantSinceTimestamp (written by MN-INTAKE) for conversion detection; MN-INTAKE is unaware of this process.</w:t>
      </w:r>
    </w:p>
    <w:p>
      <w:pPr>
        <w:spacing w:after="40"/>
      </w:pPr>
      <w:r>
        <w:rPr>
          <w:rFonts w:ascii="Arial" w:cs="Arial" w:eastAsia="Arial" w:hAnsi="Arial"/>
          <w:b/>
          <w:bCs/>
          <w:i w:val="false"/>
          <w:iCs w:val="false"/>
          <w:sz w:val="22"/>
          <w:szCs w:val="22"/>
        </w:rPr>
        <w:t xml:space="preserve">Handoff to CR Domain Reconciliation.</w:t>
      </w:r>
    </w:p>
    <w:p>
      <w:pPr>
        <w:spacing w:after="120"/>
      </w:pPr>
      <w:r>
        <w:rPr>
          <w:rFonts w:ascii="Arial" w:cs="Arial" w:eastAsia="Arial" w:hAnsi="Arial"/>
          <w:b w:val="false"/>
          <w:bCs w:val="false"/>
          <w:i w:val="false"/>
          <w:iCs w:val="false"/>
          <w:sz w:val="22"/>
          <w:szCs w:val="22"/>
        </w:rPr>
        <w:t xml:space="preserve">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1"/>
        <w:spacing w:after="120" w:before="360"/>
      </w:pPr>
      <w:r>
        <w:rPr>
          <w:rFonts w:ascii="Arial" w:cs="Arial" w:eastAsia="Arial" w:hAnsi="Arial"/>
          <w:b/>
          <w:bCs/>
          <w:i w:val="false"/>
          <w:iCs w:val="false"/>
          <w:sz w:val="32"/>
          <w:szCs w:val="32"/>
        </w:rPr>
        <w:t xml:space="preserve">6. System Requirements</w:t>
      </w:r>
    </w:p>
    <w:p>
      <w:pPr>
        <w:spacing w:after="120"/>
      </w:pPr>
      <w:r>
        <w:rPr>
          <w:rFonts w:ascii="Arial" w:cs="Arial" w:eastAsia="Arial" w:hAnsi="Arial"/>
          <w:b w:val="false"/>
          <w:bCs w:val="false"/>
          <w:i w:val="false"/>
          <w:iCs w:val="false"/>
          <w:sz w:val="22"/>
          <w:szCs w:val="22"/>
        </w:rPr>
        <w:t xml:space="preserve">The following requirements define what the system must do to support this process. All requirements are stated in system-must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6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CR-EVENTS-CONVERT-REQ-001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Send Post-Event Emails action on the Event detail view, available to the Content and Event Administrator at any Event status.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CR-EVENTS-CONVERT-REQ-002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CR-EVENTS-CONVERT-REQ-003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When the Send Post-Event Emails action is invoked on an Event whose dateEnd has passed, the system must iterate through every Event Registration linked to the Event and evaluate routing per the rules in REQ-004 through REQ-008.</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CR-EVENTS-CONVERT-REQ-004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 Event Registrations where postEventFollowUpSentAt is already populated, the system must skip the registration and dispatch nothing.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CR-EVENTS-CONVERT-REQ-005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 Event Registrations at attendanceStatus = Cancelled, the system must skip the registration and dispatch nothing.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CR-EVENTS-CONVERT-REQ-006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 Event Registrations at attendanceStatus = Registered, the system must skip the registration and dispatch nothing, on the rationale that attendance was never recorded and routing cannot be determined safely.</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CR-EVENTS-CONVERT-REQ-007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 Event Registrations at attendanceStatus = Attended, the system must dispatch the Post-Event Thank-You email using the linked Contact’s email address.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CR-EVENTS-CONVERT-REQ-008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 Event Registrations at attendanceStatus = No-Show, the system must dispatch the Post-Event We-Missed-You email using the linked Contact’s email address.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CR-EVENTS-CONVERT-REQ-009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 each dispatch under REQ-007 or REQ-008, the system must set postEventFollowUpSentAt on the Event Registration to the dispatch timestamp.</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CR-EVENTS-CONVERT-REQ-010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CR-EVENTS-CONVERT-REQ-011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Post-Event Thank-You and Post-Event We-Missed-You emails must be sent from the dedicated CBM operational events address configured at implementation time, matching the sending address for CR-EVENTS-MANAGE transactional communications.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CR-EVENTS-CONVERT-REQ-012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CR-EVENTS-CONVERT-REQ-013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CR-EVENTS-CONVERT-REQ-014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CR-EVENTS-CONVERT-REQ-015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CR-EVENTS-CONVERT-REQ-016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conversion-push composer accessible from the Unconverted Event Attendees list. The composer must support multi-Contact selection and template-with-override workflow.</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CR-EVENTS-CONVERT-REQ-017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CR-EVENTS-CONVERT-REQ-018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 conversion-push dispatch, the system must set lastConversionPushSentAt on each recipient’s Contact record to the dispatch timestamp.</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CR-EVENTS-CONVERT-REQ-019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create Campaign records, Campaign Engagement records, or any dedicated engagement-tracking entity for conversion-push sends. Sends are recorded as standard activity-stream entries on each Contact.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CR-EVENTS-CONVERT-REQ-020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CR-EVENTS-CONVERT-REQ-021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CR-EVENTS-CONVERT-REQ-022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store a conversion status field on Contact, Event Registration, or any other entity. No workflow must maintain a computed conversion flag, and no scheduled job must materialize conversion data.</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CR-EVENTS-CONVERT-REQ-023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Contact detail view must display a read-only Conversion Status indicator with one of three values: Converted (with the Account’s applicantSinceTimestamp date), Not Converted, or Not An Event Attendee. The indicator value must be computed at view display time using the logic in REQ-021.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CR-EVENTS-CONVERT-REQ-024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use Account.applicantSinceTimestamp as the conversion date wherever a conversion date is displayed or reported. This requires that Account.applicantSinceTimestamp be system-populated by MN-INTAKE workflow when an Account’s clientStatus transitions to Applicant; see Section 10 for the MN-INTAKE carry-forward update.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CR-EVENTS-CONVERT-REQ-025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a 180-day default conversion window measured from Event.dateEnd to Account.applicantSinceTimestamp. All conversion reports must accept a per-report override on the window parameter.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CR-EVENTS-CONVERT-REQ-026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five conversion effectiveness reports: Per-Event Conversion Report, Conversion by Topic Report, Conversion by Format Report, Conversion by Partner Co-Sponsorship Report, and Conversion by Geography Report.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CR-EVENTS-CONVERT-REQ-027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Account.applicantSinceTimestamp minus Event.dateEnd across converted Contacts in the grouping).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CR-EVENTS-CONVERT-REQ-028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CR-EVENTS-CONVERT-REQ-029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CR-EVENTS-CONVERT-REQ-030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conversion effectiveness reports must default to a trailing 12-month time range on Completed events, with per-report override available at run time. All reports must support CSV export.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CR-EVENTS-CONVERT-REQ-031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place the five conversion effectiveness reports in the Event Reports section alongside the seven operational reports from CR-EVENTS-MANAGE, organized into Operational and Effectiveness subgroups.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CR-EVENTS-CONVERT-REQ-032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CR-EVENTS-CONVERT-REQ-033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180-day threshold on the Reactivation Candidates list must be a list query parameter adjustable by the list operator. The default value matches the conversion window default.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CR-EVENTS-CONVERT-REQ-034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CR-EVENTS-CONVERT-REQ-035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Account.applicantSinceTimestamp. No materialized view or summary table must be maintained for this purpose.</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defined in prior processes or entity documents, are referenced by this process but are not created or updated here. Their presence or values on existing records inform the behavior of this process.</w:t>
      </w:r>
    </w:p>
    <w:p>
      <w:pPr>
        <w:pStyle w:val="Heading2"/>
        <w:spacing w:after="120" w:before="240"/>
      </w:pPr>
      <w:r>
        <w:rPr>
          <w:rFonts w:ascii="Arial" w:cs="Arial" w:eastAsia="Arial" w:hAnsi="Arial"/>
          <w:b/>
          <w:bCs/>
          <w:i w:val="false"/>
          <w:iCs w:val="false"/>
          <w:sz w:val="28"/>
          <w:szCs w:val="28"/>
        </w:rPr>
        <w:t xml:space="preserve">Entity: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Destination address for post-event follow-up emails and conversion-push outreach. Defined in Contact Entity PRD.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as a template substitution variable when preferredName is blank.</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preferred name. Referenced by templates; when populated, templates use preferredName in place of firstName.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on Contact. Read for context on the Contact detail view and in reports; this process does not filter by contactType. Defined in Contact Entity PRD.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true, false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Email marketing opt-out flag. Honored for conversion-push outreach (marketing). Explicitly ignored for Post-Event Thank-You and We-Missed-You emails (transactional) per REQ-010.</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 Workshop or Event, Email Marketing, Social Media, Search Engine, CBM Website, News or Media, Personal Referral, Returning Client,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Source attribution. Read by the cross-sub-domain channel effectiveness report for CR rollup. Value Workshop or Event is the attribution signal this process is ultimately measuring. Defined in Contact Entity PRD (CR-MARKETING SDO Section 4.7 governs the value list).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Supplementary unstructured attribution detail. When Workshop or Event is the howDidYouHearAboutCbm value, contains the specific event name. Read for context only; this process does not parse the free-text value. Defined in Contact Entity PRD.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prospectStatus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defined by CR-MARKETING; see CR-MARKETING-ISS-003)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Marketing-funnel state. Read for context in conversion reports and on the Contact detail view; this process does not filter by prospectStatus. Defined in Contact Entity PRD.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title. Used as a template substitution variable in post-event emails and as an axis label in Per-Event Conversion Report rows. Defined in 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end date and time. The event-side anchor for the conversion window (Event.dateEnd to Account.applicantSinceTimestamp) per REQ-025. Also the gate for Send Post-Event Emails action availability per REQ-002. Defined in CR-EVENTS-MANAGE.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 Scheduled, In Progress, Completed, Cancelled, Postponed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Event lifecycle state. Read for report filtering (trailing-12-months view filters to Completed). Not used as a trigger or a filter for post-event email dispatch per the decisions in Section 11. Defined in 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topic</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Fundamentals, Marketing &amp; Sales, Finance &amp; Accounting, Legal &amp; Compliance, Operations, Technology &amp; Digital, Leadership &amp; People, Industry-Specific, Networking,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Event topic. Grouping dimension for the Conversion by Topic Report. Defined in CR-EVENTS-MANAGE.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format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Virtual, Hybrid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Event format. Grouping dimension for the Conversion by Format Report and a driver of template content (recording link section renders only for Virtual or Hybrid when recordingUrl is populated). Defined in 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venue name and address for In-Person or Hybrid events. Grouping dimension for the Conversion by Geography Report pending CR-MARKETING-ISS-001 resolution. Defined in CR-EVENTS-MANAGE.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link to an externally hosted recording. Referenced in Post-Event Thank-You and Post-Event We-Missed-You templates; when blank the template renders without the recording link section. No separate post-event recording URL field is defined. Defined in 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coSponsoringPartners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partner Accounts co-sponsoring the event. Grouping dimension for the Conversion by Partner Co-Sponsorship Report in both its binary and per-partner views. Defined in CR-EVENTS-MANAGE.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presenter Contacts. Referenced in Post-Event Thank-You templates for thank-you-to-our-presenters content. Defined in CR-EVENTS-MANAGE.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this registration is for. Traversed to read Event fields for template substitution, report grouping, and conversion window evaluation. Defined in 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CR-EVENTS-CONVERT-DAT-019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registrant Contact. Traversed to determine the recipient of post-event emails and to evaluate conversion detection and Reactivation list membership. Defined in CR-EVENTS-MANAGE.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 Attended, No-Show, Cancelled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core routing field for this process. Drives dispatch routing in REQ-004 through REQ-008, conversion detection in REQ-021, and Reactivation list membership in REQ-032. Defined in 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lastCommunicationBouncedAt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the most recent hard bounce of any event communication. Written by this process on post-event follow-up bounces per REQ-013; also written by CR-EVENTS-MANAGE on confirmation and reminder bounces. Defined in CR-EVENTS-MANAGE.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defined by CR-MARKETING; see CR-MARKETING-ISS-004)</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by this process. Three new fields are introduced by this process; one of them (Account.applicantSinceTimestamp) is populated by a workflow owned by MN-INTAKE and triggered by CR-EVENTS-CONVERT’s need. Updates to existing fields are also listed.</w:t>
      </w:r>
    </w:p>
    <w:p>
      <w:pPr>
        <w:pStyle w:val="Heading2"/>
        <w:spacing w:after="120" w:before="240"/>
      </w:pPr>
      <w:r>
        <w:rPr>
          <w:rFonts w:ascii="Arial" w:cs="Arial" w:eastAsia="Arial" w:hAnsi="Arial"/>
          <w:b/>
          <w:bCs/>
          <w:i w:val="false"/>
          <w:iCs w:val="false"/>
          <w:sz w:val="28"/>
          <w:szCs w:val="28"/>
        </w:rPr>
        <w:t xml:space="preserve">Entity: Event Registration (New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postEventFollowUpSentAt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Contact (New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lastConversionPushSentAt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Account (New Field — Populated by MN-INTAKE)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applicantSinceTimestamp</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Contact (Activity-Stream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activity stream entry (conversion-push send)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Event Registration (Activity-Stream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activity stream entry (post-event email send)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 each Post-Event Thank-You or Post-Event We-Missed-You dispatch, the system records a standard activity-stream entry on the Event Registration capturing the send timestamp and the template used. This is the system-of-record for which template was actually sent to this registration; postEventFollowUpSentAt records only that a send occurred, not which template. The activity-stream entry supports the Administrator’s ability to audit specific sends if needed.</w:t>
            </w:r>
          </w:p>
        </w:tc>
      </w:tr>
    </w:tbl>
    <w:p>
      <w:pPr>
        <w:pStyle w:val="Heading1"/>
        <w:spacing w:after="120" w:before="36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One new open issue is surfaced by this process. Two open issues inherited from prior documents are relevant to this process and carried forward for visibility.</w:t>
      </w:r>
    </w:p>
    <w:p>
      <w:pPr>
        <w:pStyle w:val="Heading2"/>
        <w:spacing w:after="120" w:before="240"/>
      </w:pPr>
      <w:r>
        <w:rPr>
          <w:rFonts w:ascii="Arial" w:cs="Arial" w:eastAsia="Arial" w:hAnsi="Arial"/>
          <w:b/>
          <w:bCs/>
          <w:i w:val="false"/>
          <w:iCs w:val="false"/>
          <w:sz w:val="28"/>
          <w:szCs w:val="28"/>
        </w:rPr>
        <w:t xml:space="preserve">9.1 New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CR-EVENTS-CONVERT-ISS-001</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Conversion-push outreach per-send engagement tracking (opens, clicks, bounces) is deliberately out of scope for v1.0. The rationale is that conversion-push volume is small, outcome-based measurement (did the recipient apply?) answers the operational question, and Campaign infrastructure is not a good fit for the individually-curated nature of these sends. If conversion measurement proves insufficient and the Content and Event Administrator needs per-send engagement data, the capability would require either marketing-platform delivery (which contradicts the CRM-authored nature of the channel) or a new dedicated lightweight engagement-tracking entity.</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Revisit if the aggregate lastConversionPushSentAt field proves insufficient for effectiveness analysis in practice. The resolution is either to accept the limitation permanently, to route conversion-push through the marketing platform (significant scope expansion), or to introduce a lightweight Conversion-Push Send entity. This issue should be revisited no earlier than six months after v1.0 deployment to allow operational experience to inform the decision.</w:t>
            </w:r>
          </w:p>
        </w:tc>
      </w:tr>
    </w:tbl>
    <w:p>
      <w:pPr>
        <w:pStyle w:val="Heading2"/>
        <w:spacing w:after="120" w:before="240"/>
      </w:pPr>
      <w:r>
        <w:rPr>
          <w:rFonts w:ascii="Arial" w:cs="Arial" w:eastAsia="Arial" w:hAnsi="Arial"/>
          <w:b/>
          <w:bCs/>
          <w:i w:val="false"/>
          <w:iCs w:val="false"/>
          <w:sz w:val="28"/>
          <w:szCs w:val="28"/>
        </w:rPr>
        <w:t xml:space="preserve">9.2 Open Issues Carried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CR-MARKETING-ISS-001</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Affects the Conversion by Geography Report, which in v1.0 groups events by exact-match on free-text Event.location values. The report utility is acknowledged as low-but-nonzero until a structured geographic taxonomy is introduced.</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belongs to CR-MARKETING. Until resolved, the Conversion by Geography Report displays free-text values as-is with a pending-taxonomy note per REQ-029. On resolution, the report is rewritten against the structured taxonomy fields.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CR-MARKETING-ISS-004</w:t>
            </w:r>
          </w:p>
        </w:tc>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Hard-bounce threshold for automatic Contact state change is unresolved. Post-event follow-up email bounces are logged per REQ-013 but the system does not automatically suppress future sends or alter Contact state on bounce. A Contact whose post-event follow-up email bounces will still receive future event communications from CR-EVENTS-MANAGE (confirmations, reminders) and future conversion-push outreach unless the Administrator manually intervenes.</w:t>
            </w:r>
          </w:p>
        </w:tc>
        <w:tc>
          <w:tcPr>
            <w:tcW w:type="dxa" w:w="2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belongs to CR-MARKETING. Until resolved, bounce handling in this process is pass-through and the Administrator handles bounces operationally through periodic review of the lastCommunicationBouncedAt field on Event Registration and Contact records.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CR-EVENTS-ISS-001</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feedback surveys deferred pending future Survey Service definition. Post-event feedback collection is a natural extension of the follow-up email flow but is out of scope for CR-EVENTS v1.0. The thank-you and we-missed-you templates may link out to an external survey tool but the CRM does not capture responses.</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belongs to the future Survey Service when defined as a cross-domain service. At that point, the CR-EVENTS-CONVERT templates would be updated to link to CRM-hosted surveys and survey response data would feed back into conversion and effectiveness reporting.</w:t>
            </w:r>
          </w:p>
        </w:tc>
      </w:tr>
    </w:tbl>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This process triggers updates to three upstream documents. Two carry-forward updates already pending from the Events Sub-Domain Overview are also listed for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3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33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Contact-Entity-PRD.docx v1.3</w:t>
            </w:r>
          </w:p>
        </w:tc>
        <w:tc>
          <w:tcPr>
            <w:tcW w:type="dxa" w:w="3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lastConversionPushSentAt (datetime, optional, system-populated) as a new CR-domain field. Carry-forward also adds presenterBio (wysiwyg) and presenterTopics (multiEnum) from the Events Sub-Domain Overview. Update Section 5.7 narrative accordingly. Bumps Contact Entity PRD to v1.4.</w:t>
            </w:r>
          </w:p>
        </w:tc>
        <w:tc>
          <w:tcPr>
            <w:tcW w:type="dxa" w:w="3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lastConversionPushSentAt field supports conversion-push effectiveness comparison (REQ-018) and is the minimum tracking needed without introducing Campaign records for conversion-push sends (REQ-019). Consolidates with the two presenter fields already pending carry-forward from the Sub-Domain Overview.</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Account-Entity-PRD.docx v1.3</w:t>
            </w:r>
          </w:p>
        </w:tc>
        <w:tc>
          <w:tcPr>
            <w:tcW w:type="dxa" w:w="33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applicantSinceTimestamp (datetime, optional, system-populated by MN-INTAKE) as a new field. Bumps Account Entity PRD to v1.4.</w:t>
            </w:r>
          </w:p>
        </w:tc>
        <w:tc>
          <w:tcPr>
            <w:tcW w:type="dxa" w:w="33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applicantSinceTimestamp field is the application-side anchor for the conversion window (REQ-025) and is displayed as the conversion date in the Contact detail view indicator (REQ-023). Populating it at the moment of the prospect-to-applicant transition is the minimum change required to support accurate conversion timing reporting.</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MN-INTAKE.docx v2.3</w:t>
            </w:r>
          </w:p>
        </w:tc>
        <w:tc>
          <w:tcPr>
            <w:tcW w:type="dxa" w:w="3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Extend MN-INTAKE-REQ-011 to system-populate Account.applicantSinceTimestamp with the current timestamp at the same moment that clientStatus is set to Applicant. The requirement text would gain: “The system must also populate Account.applicantSinceTimestamp with the current timestamp at this transition.” Bumps MN-INTAKE to v2.4.</w:t>
            </w:r>
          </w:p>
        </w:tc>
        <w:tc>
          <w:tcPr>
            <w:tcW w:type="dxa" w:w="3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applicantSinceTimestamp field is introduced to support CR-EVENTS-CONVERT conversion reporting (REQ-024, REQ-025, REQ-027), but the only workflow that knows when clientStatus transitions to Applicant is MN-INTAKE. The write must happen in the MN-INTAKE-owned workflow. This is a minimal, targeted requirement addition — one field write coupled to an existing transition — and does not expand MN-INTAKE’s scope otherwise.</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CBM-Domain-Overview-ClientRecruiting.docx v1.1</w:t>
            </w:r>
          </w:p>
        </w:tc>
        <w:tc>
          <w:tcPr>
            <w:tcW w:type="dxa" w:w="33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Carry-forward from Events Sub-Domain Overview: add CR-EVENTS-ISS-001 to the Section 4.7 open issues table. No new items from this session beyond what the Sub-Domain Overview already surfaced. Bumps CR Domain Overview to v1.2.</w:t>
            </w:r>
          </w:p>
        </w:tc>
        <w:tc>
          <w:tcPr>
            <w:tcW w:type="dxa" w:w="33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update was already pending from the Sub-Domain Overview session. Listed here for tracking completeness; no new content from this process.</w:t>
            </w:r>
          </w:p>
        </w:tc>
      </w:tr>
    </w:tbl>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interview walked through eleven topic clusters derived from the session prompt. Decisions on each are captured below, organized by topic area.</w:t>
      </w:r>
    </w:p>
    <w:p>
      <w:pPr>
        <w:pStyle w:val="Heading3"/>
        <w:spacing w:after="120" w:before="240"/>
      </w:pPr>
      <w:r>
        <w:rPr>
          <w:rFonts w:ascii="Arial" w:cs="Arial" w:eastAsia="Arial" w:hAnsi="Arial"/>
          <w:b/>
          <w:bCs/>
          <w:i w:val="false"/>
          <w:iCs w:val="false"/>
          <w:sz w:val="24"/>
          <w:szCs w:val="24"/>
        </w:rPr>
        <w:t xml:space="preserve">Automated Follow-Up Trigger</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Given that Event.status = Completed is manual and unreliable, what triggers the thank-you and we-missed-you dispatch?</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Three options were considered: time-based scheduled evaluation keyed off Event.dateEnd; manual action on the Event detail view; and a hybrid scheduled-but-gated-on-attendance-recorded approach. On reflection about what the target CRM can reliably support without pushing the design into untested territory, the manual action is chosen.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Send Post-Event Emails is a manual action on the Event detail view. The action always visible; if dateEnd has not yet passed, the action shows an explanatory message rather than firing. No scheduler involved. Mechanically analogous to the bulk-update attendance actions already committed to in CR-EVENTS-MANAGE.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How are Event Registrations still at attendanceStatus = Registered handled when the action is invoked?</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Options considered: route them as No-Show for follow-up; skip them entirely; or block the action until every registration has a non-Registered attendanceStatus. Skip them entirely is chosen.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Registered registrations are skipped. The Administrator can record attendance later and re-run the action; newly resolved registrations will then be dispatched to while previously sent registrations are protected by idempotency.</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the action idempotent — can it be safely re-run?</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Options considered: idempotent via a postEventFollowUpSentAt tracking field; non-idempotent (every click sends); or idempotent with a deliberate resend override. Idempotent via tracking field with no override chosen.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A new postEventFollowUpSentAt datetime field on Event Registration is added. The action skips registrations where the field is populated. No resend override in v1.0; if a recipient needs a corrected send, the Administrator handles it as a one-off direct email.</w:t>
      </w:r>
    </w:p>
    <w:p>
      <w:pPr>
        <w:pStyle w:val="Heading3"/>
        <w:spacing w:after="120" w:before="240"/>
      </w:pPr>
      <w:r>
        <w:rPr>
          <w:rFonts w:ascii="Arial" w:cs="Arial" w:eastAsia="Arial" w:hAnsi="Arial"/>
          <w:b/>
          <w:bCs/>
          <w:i w:val="false"/>
          <w:iCs w:val="false"/>
          <w:sz w:val="24"/>
          <w:szCs w:val="24"/>
        </w:rPr>
        <w:t xml:space="preserve">Opt-Out Handling for Post-Event Communications</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Does the thank-you email honor Contact.emailOptOut? The we-missed-you email? The manual conversion-push outreach?</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Three framings considered: all three types as transactional (ignore emailOptOut); all three as marketing (honor it); or split by type. Split by type chosen.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Thank-you and we-missed-you emails are transactional — ignore emailOptOut. They are tied to a specific event the recipient registered for and contain event-specific content. Manual conversion-push outreach is marketing — honors emailOptOut. Its content is forward-looking solicitation rather than event-specific. The distinction tracks the CAN-SPAM line cleanly.</w:t>
      </w:r>
    </w:p>
    <w:p>
      <w:pPr>
        <w:pStyle w:val="Heading3"/>
        <w:spacing w:after="120" w:before="240"/>
      </w:pPr>
      <w:r>
        <w:rPr>
          <w:rFonts w:ascii="Arial" w:cs="Arial" w:eastAsia="Arial" w:hAnsi="Arial"/>
          <w:b/>
          <w:bCs/>
          <w:i w:val="false"/>
          <w:iCs w:val="false"/>
          <w:sz w:val="24"/>
          <w:szCs w:val="24"/>
        </w:rPr>
        <w:t xml:space="preserve">Template Structure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a new postEventRecordingUrl field needed on Event, distinct from the existing recordingUrl?</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The existing recordingUrl field was defined in CR-EVENTS-MANAGE as a post-delivery reference field, which is exactly the semantic needed.</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Reuse existing recordingUrl. No new field. Conditional template rendering handles the empty case.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a structured nextEventSuggestion field needed to parameterize a “next event of this topic” section in the template?</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Manual selection puts ongoing work on the Administrator; system-derived suggestions are fragile across real-world cases; a generic upcoming-events landing page link is sufficient for the automated templates. Personalized next-event recommendations belong in the manual conversion-push channel.</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No structured next-event suggestion in v1.0 templates. Templates link to a generic upcoming-events landing page. Event-specific recommendations go through conversion-push.</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Are any other Event fields needed for templating?</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The existing Event field set plus the existing Contact and Event Registration fields are sufficient.</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Net new Event fields introduced by this process: zero.</w:t>
      </w:r>
    </w:p>
    <w:p>
      <w:pPr>
        <w:pStyle w:val="Heading3"/>
        <w:spacing w:after="120" w:before="240"/>
      </w:pPr>
      <w:r>
        <w:rPr>
          <w:rFonts w:ascii="Arial" w:cs="Arial" w:eastAsia="Arial" w:hAnsi="Arial"/>
          <w:b/>
          <w:bCs/>
          <w:i w:val="false"/>
          <w:iCs w:val="false"/>
          <w:sz w:val="24"/>
          <w:szCs w:val="24"/>
        </w:rPr>
        <w:t xml:space="preserve">Conversion-Push Outreach — Target List</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How does the Administrator select the conversion-push target list?</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Three options considered: saved Contact list with adjustable filters; saved Event Registration list; per-Event drill path. Saved Contact list chosen.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Unconverted Event Attendees saved list on Contact, with adjustable filters (recency, topic, specific Event, emailOptOut with default to exclude opted-out). Matches the CR-MARKETING-CONTACTS segmentation pattern.</w:t>
      </w:r>
    </w:p>
    <w:p>
      <w:pPr>
        <w:pStyle w:val="Heading3"/>
        <w:spacing w:after="120" w:before="240"/>
      </w:pPr>
      <w:r>
        <w:rPr>
          <w:rFonts w:ascii="Arial" w:cs="Arial" w:eastAsia="Arial" w:hAnsi="Arial"/>
          <w:b/>
          <w:bCs/>
          <w:i w:val="false"/>
          <w:iCs w:val="false"/>
          <w:sz w:val="24"/>
          <w:szCs w:val="24"/>
        </w:rPr>
        <w:t xml:space="preserve">Conversion-Push Outreach — Authoring</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Are conversion-push messages ad hoc, templated, or templated with override?</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Templated with override chosen. Pure ad hoc forces retyping boilerplate and produces inconsistent voice; pure templated is too rigid for a judgment-based channel; templated with override preserves personalization while providing a fast starting point.</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Three starter templates: Ready to Apply, Next Event Invitation, General Reconnect. Template pre-fills with variables; Administrator may edit before sending. Administrator can author additional templates over time without code changes. Same template-editing UX as CR-EVENTS-MANAGE transactional templates.</w:t>
      </w:r>
    </w:p>
    <w:p>
      <w:pPr>
        <w:pStyle w:val="Heading3"/>
        <w:spacing w:after="120" w:before="240"/>
      </w:pPr>
      <w:r>
        <w:rPr>
          <w:rFonts w:ascii="Arial" w:cs="Arial" w:eastAsia="Arial" w:hAnsi="Arial"/>
          <w:b/>
          <w:bCs/>
          <w:i w:val="false"/>
          <w:iCs w:val="false"/>
          <w:sz w:val="24"/>
          <w:szCs w:val="24"/>
        </w:rPr>
        <w:t xml:space="preserve">Conversion-Push Outreach — Campaign or Distinct</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Do conversion-push sends create Campaign records, no records at all, or records on a new dedicated entity?</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Three options considered: Campaign records (would violate CR-MARKETING-CAMPAIGNS’ exclusive ownership and require cross-sub-domain scope changes); no records (activity-stream only); new dedicated tracking entity. No records chosen, with one lightweight supporting field on Contact.</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Conversion-push sends create no Campaign records, no Campaign Engagement records, no new entity. A new Contact field lastConversionPushSentAt supports contacted-vs-uncontacted effectiveness comparison. Per-send engagement data (opens, clicks, bounces) is deferred — captured as open issue CR-EVENTS-CONVERT-ISS-001.</w:t>
      </w:r>
    </w:p>
    <w:p>
      <w:pPr>
        <w:pStyle w:val="Heading3"/>
        <w:spacing w:after="120" w:before="240"/>
      </w:pPr>
      <w:r>
        <w:rPr>
          <w:rFonts w:ascii="Arial" w:cs="Arial" w:eastAsia="Arial" w:hAnsi="Arial"/>
          <w:b/>
          <w:bCs/>
          <w:i w:val="false"/>
          <w:iCs w:val="false"/>
          <w:sz w:val="24"/>
          <w:szCs w:val="24"/>
        </w:rPr>
        <w:t xml:space="preserve">Conversion Detection Mechanism</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conversion detected computed-on-read, stored as a boolean maintained by workflow, or materialized by a scheduled job?</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Options considered: computed-on-read, stored boolean with workflow triggers, scheduled materialization. Computed-on-read chosen.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Computed on read. No stored conversion field. Consistent with the reactivation handoff and cross-sub-domain reporting decisions that follow. Avoids the class of trigger-maintenance bugs stored fields invite (late attendance corrections, retroactive Account links, MN-INTAKE’s email-match-update behavior).</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conversion status visible on the Contact detail view, or only in reports?</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Visible on the Contact detail view as a read-only computed indicator. Three states: Converted (with date), Not Converted, Not An Event Attendee. Without this, the Administrator running conversion-push outreach has no in-record signal.</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Conversion indicator computed at view time from the same logic as reports. Not a stored field.</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What date does the Converted state display?</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Options considered: the Account’s clientStatus-to-Applicant transition date (the conversion moment), or the Event Registration’s attendance date. The transition date is the direct answer to ‘when did this person convert?’. The Event.dateEnd is the separate anchor for the window calculation.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Conversion date is the Account’s clientStatus-to-Applicant transition date. This requires that transition to be dated. Existing Account.modifiedAt is an imprecise proxy; a new field applicantSinceTimestamp is added. MN-INTAKE workflow must populate it at the same moment REQ-011 sets clientStatus to Applicant. Triggers Section 10 updates to the Account Entity PRD and MN-INTAKE.</w:t>
      </w:r>
    </w:p>
    <w:p>
      <w:pPr>
        <w:pStyle w:val="Heading3"/>
        <w:spacing w:after="120" w:before="240"/>
      </w:pPr>
      <w:r>
        <w:rPr>
          <w:rFonts w:ascii="Arial" w:cs="Arial" w:eastAsia="Arial" w:hAnsi="Arial"/>
          <w:b/>
          <w:bCs/>
          <w:i w:val="false"/>
          <w:iCs w:val="false"/>
          <w:sz w:val="24"/>
          <w:szCs w:val="24"/>
        </w:rPr>
        <w:t xml:space="preserve">Conversion Window Mechanics</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On the event side, what is the window’s anchor date: Event.dateEnd, Event Registration.registrationDate, or the date attendance was recorded?</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Event.dateEnd. Registration date is the prelude; attendance-recording date is a staff-workflow artifact. The conversion question is ‘did attending this event lead to an application within the window?’, and Event.dateEnd is the cleanest anchor.</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Event.dateEnd on the event side. Account.applicantSinceTimestamp on the application side.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the 180-day default hardcoded or a system-wide configurable default?</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Hardcoded. System-wide configurability is overhead for a value unlikely to change frequently that the Administrator can already override per report run.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Hardcoded 180-day default. Per-report override at run time.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What is the default time range on conversion reports?</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Trailing 12 months of Completed events. Standard reporting convention, captures seasonal patterns, stays responsive, renders meaningfully given the 180-day window.</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Trailing 12 months default. Per-report override at run time.</w:t>
      </w:r>
    </w:p>
    <w:p>
      <w:pPr>
        <w:pStyle w:val="Heading3"/>
        <w:spacing w:after="120" w:before="240"/>
      </w:pPr>
      <w:r>
        <w:rPr>
          <w:rFonts w:ascii="Arial" w:cs="Arial" w:eastAsia="Arial" w:hAnsi="Arial"/>
          <w:b/>
          <w:bCs/>
          <w:i w:val="false"/>
          <w:iCs w:val="false"/>
          <w:sz w:val="24"/>
          <w:szCs w:val="24"/>
        </w:rPr>
        <w:t xml:space="preserve">Reactivation Handoff Mechanism</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How is an unconverted attendee handed off to the Reactivation sub-domain: saved list, flag on Contact, or scheduled job populating a Segment?</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Saved list computed on read, owned by CR-EVENTS-CONVERT, consumed by CR-REACTIVATE. Consistent with the computed-on-read conversion detection. Avoids a maintained field on Contact; avoids committing CR-REACTIVATE to Segment as the input mechanism before CR-REACTIVATE has been designed.</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Saved list Reactivation Candidates — Event Attendees, computed on read. No Contact flag, no Segment, no scheduled job. Threshold criteria: attended event, no applicant-stage Account, most recent Attended Event.dateEnd at least 180 days ago (matches conversion window default; configurable).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What happens if a handed-off Contact attends another event later?</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cycle naturally. The list re-evaluates against current state; a re-attending Contact re-enters the conversion window and drops off the list, then re-qualifies after that window expires if still unconverted. No persistent ‘previously handed off’ marker.</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No persistent handoff marker. List membership is purely a function of current data state.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Is there a manual handoff action the Content and Event Administrator takes to release a Contact to the list?</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The list is a query result. No approval, no release, no record-level action. The Client Recruiter consumes the list during Reactivation work cycles.</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No manual handoff action. Persona boundary remains as defined in the Sub-Domain Overview — Content and Event Administrator owns through the list; Client Recruiter owns from there in CR-REACTIVATE-OUTREACH.</w:t>
      </w:r>
    </w:p>
    <w:p>
      <w:pPr>
        <w:pStyle w:val="Heading3"/>
        <w:spacing w:after="120" w:before="240"/>
      </w:pPr>
      <w:r>
        <w:rPr>
          <w:rFonts w:ascii="Arial" w:cs="Arial" w:eastAsia="Arial" w:hAnsi="Arial"/>
          <w:b/>
          <w:bCs/>
          <w:i w:val="false"/>
          <w:iCs w:val="false"/>
          <w:sz w:val="24"/>
          <w:szCs w:val="24"/>
        </w:rPr>
        <w:t xml:space="preserve">Effectiveness Report Definitions</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What metrics does each effectiveness report expose?</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Six metrics per report, uniform across dimensions: Registrations, Attendance, No-Show Rate, Conversion Count, Conversion Rate, Median Days from Event to Application. No-Show Rate definition matches CR-EVENTS-MANAGE-REQ-050.</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Five reports (Per-Event, Topic, Format, Partner Co-Sponsorship, Geography), six metrics each. Partner report has two groupings (binary co-sponsored-vs-not and per-partner).</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How does the geography report group free-text Event.location values until CR-MARKETING-ISS-001 resolves?</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Exact-match grouping only, with a report note explaining the limitation. Substring or fuzzy matching would create false confidence in groupings that will be replaced anyway. The utility is low-but-nonzero — a raw scan of the data, CSV-exportable for spreadsheet analysis.</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Geography report: exact-match grouping, pending-taxonomy note, CSV export. No heuristic grouping.</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Where do the effectiveness reports live relative to the seven operational reports from CR-EVENTS-MANAGE?</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Combined Event Reports section organized into Operational and Effectiveness subgroups. The Administrator’s perspective is ‘reports about events’; the ownership split is a documentation artifact.</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Single Event Reports section with Operational and Effectiveness subgroups.</w:t>
      </w:r>
    </w:p>
    <w:p>
      <w:pPr>
        <w:pStyle w:val="Heading3"/>
        <w:spacing w:after="120" w:before="240"/>
      </w:pPr>
      <w:r>
        <w:rPr>
          <w:rFonts w:ascii="Arial" w:cs="Arial" w:eastAsia="Arial" w:hAnsi="Arial"/>
          <w:b/>
          <w:bCs/>
          <w:i w:val="false"/>
          <w:iCs w:val="false"/>
          <w:sz w:val="24"/>
          <w:szCs w:val="24"/>
        </w:rPr>
        <w:t xml:space="preserve">Event Comparison Views</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Does the Administrator need a dedicated side-by-side Event comparison view beyond the Per-Event Conversion Report?</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The Per-Event Conversion Report filtered to specific Events already answers the comparison question, presented as rows rather than columns. A dedicated view is hard to justify without evidence the roll-ups are insufficient, and CBM’s event volume does not make row-based reading a meaningful burden.</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Roll-ups only. No dedicated side-by-side comparison view in v1.0.</w:t>
      </w:r>
    </w:p>
    <w:p>
      <w:pPr>
        <w:pStyle w:val="Heading3"/>
        <w:spacing w:after="120" w:before="240"/>
      </w:pPr>
      <w:r>
        <w:rPr>
          <w:rFonts w:ascii="Arial" w:cs="Arial" w:eastAsia="Arial" w:hAnsi="Arial"/>
          <w:b/>
          <w:bCs/>
          <w:i w:val="false"/>
          <w:iCs w:val="false"/>
          <w:sz w:val="24"/>
          <w:szCs w:val="24"/>
        </w:rPr>
        <w:t xml:space="preserve">Cross-Sub-Domain Reporting Contribution</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Does CR-EVENTS-CONVERT maintain pre-aggregated metrics or a materialized view for the CR Domain cross-sub-domain channel effectiveness report?</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No pre-aggregation, no materialized view. The cross-sub-domain report (defined in Phase 5) computes directly from raw fields this process exposes. Consistent with the computed-on-read pattern throughout this process. Designing a materialized view speculatively risks solving the wrong problem.</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No pre-aggregation. An explicit requirement (REQ-035) lists the fields CR-EVENTS-CONVERT exposes as queryable for Phase 5 consumption. The commitment is documented so a future Phase 5 session does not discover a gap.</w:t>
      </w:r>
    </w:p>
    <w:p>
      <w:pPr>
        <w:pStyle w:val="Heading3"/>
        <w:spacing w:after="120" w:before="240"/>
      </w:pPr>
      <w:r>
        <w:rPr>
          <w:rFonts w:ascii="Arial" w:cs="Arial" w:eastAsia="Arial" w:hAnsi="Arial"/>
          <w:b/>
          <w:bCs/>
          <w:i w:val="false"/>
          <w:iCs w:val="false"/>
          <w:sz w:val="24"/>
          <w:szCs w:val="24"/>
        </w:rPr>
        <w:t xml:space="preserve">V1.1 applicantSinceTimestamp Rename</w:t>
      </w:r>
    </w:p>
    <w:p>
      <w:pPr>
        <w:spacing w:after="40" w:before="120"/>
      </w:pPr>
      <w:r>
        <w:rPr>
          <w:rFonts w:ascii="Arial" w:cs="Arial" w:eastAsia="Arial" w:hAnsi="Arial"/>
          <w:b/>
          <w:bCs/>
          <w:i w:val="false"/>
          <w:iCs w:val="false"/>
          <w:sz w:val="20"/>
          <w:szCs w:val="20"/>
        </w:rPr>
        <w:t xml:space="preserve">Q: </w:t>
      </w:r>
      <w:r>
        <w:rPr>
          <w:rFonts w:ascii="Arial" w:cs="Arial" w:eastAsia="Arial" w:hAnsi="Arial"/>
          <w:b w:val="false"/>
          <w:bCs w:val="false"/>
          <w:i w:val="false"/>
          <w:iCs w:val="false"/>
          <w:sz w:val="20"/>
          <w:szCs w:val="20"/>
        </w:rPr>
        <w:t xml:space="preserve">Why rename the Account-side field from applicantSince to applicantSinceTimestamp in CR-EVENTS-CONVERT v1.1?</w:t>
      </w:r>
    </w:p>
    <w:p>
      <w:pPr>
        <w:spacing w:after="8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field is a datetime, and the Timestamp suffix carries information about the field’s type. Every artifact downstream of the field’s original definition site adopted the longer name as the field flowed through the artifact set: MN-INTAKE v2.5, MN-Engagement YAML 1.0.1, the MN and CR MANUAL-CONFIG entries, CR-Account YAML, Mentoring Domain PRD v1.1, and Account Entity PRD v1.9. CR-EVENTS-CONVERT v1.0 was the original definition site under the historical short name and was the last deliverable PRD still using it. The 05-05-26 verification-pass remediation workpacket flagged the inconsistency and deferred this rename as documented technical debt because CR-EVENTS-CONVERT carried 22 occurrences across seven sections, making it substantively distinct work from the in-pass renames. This v1.1 closes the gap and brings the artifact set into uniform naming on applicantSinceTimestamp.</w:t>
      </w:r>
    </w:p>
    <w:p>
      <w:pPr>
        <w:spacing w:after="200" w:before="40"/>
        <w:ind w:left="360"/>
      </w:pPr>
      <w:r>
        <w:rPr>
          <w:rFonts w:ascii="Arial" w:cs="Arial" w:eastAsia="Arial" w:hAnsi="Arial"/>
          <w:b/>
          <w:bCs/>
          <w:i/>
          <w:iCs/>
          <w:sz w:val="20"/>
          <w:szCs w:val="20"/>
        </w:rPr>
        <w:t xml:space="preserve">Decision: </w:t>
      </w:r>
      <w:r>
        <w:rPr>
          <w:rFonts w:ascii="Arial" w:cs="Arial" w:eastAsia="Arial" w:hAnsi="Arial"/>
          <w:b w:val="false"/>
          <w:bCs w:val="false"/>
          <w:i/>
          <w:iCs/>
          <w:sz w:val="20"/>
          <w:szCs w:val="20"/>
        </w:rPr>
        <w:t xml:space="preserve">All 22 occurrences of applicantSince in CR-EVENTS-CONVERT v1.0 are renamed to applicantSinceTimestamp throughout Sections 1, 4, 5, 6, 7, 8, 10, and 11. Field type (datetime), ID (CR-EVENTS-CONVERT-DAT-025), required-status, default, semantics, source documents, and domain attribution are unchanged. The Depends On line’s Account-Entity-PRD.docx reference is updated from v1.3 to v1.9 to track the parallel rename in that document; the other Depends On entries are not in scope for this session and remain at their currently-cited versions, with a broader Depends On freshness review deferred to a future session. Status remains Draft. Source: documented technical debt deferred from the 05-05-26 verification-pass remediation workpacket and resolved in this session.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Post-Event Follow-Up and Conversion (CR-EVENTS-CONVERT)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2026-04-13T16:37:28.509Z</dcterms:created>
  <dcterms:modified xsi:type="dcterms:W3CDTF">2026-04-13T16:37:28.510Z</dcterms:modified>
</cp:coreProperties>
</file>

<file path=docProps/custom.xml><?xml version="1.0" encoding="utf-8"?>
<Properties xmlns="http://schemas.openxmlformats.org/officeDocument/2006/custom-properties" xmlns:vt="http://schemas.openxmlformats.org/officeDocument/2006/docPropsVTypes"/>
</file>