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i w:val="false"/>
          <w:iCs w:val="false"/>
          <w:color w:val="888888"/>
          <w:sz w:val="20"/>
          <w:szCs w:val="20"/>
        </w:rPr>
        <w:t xml:space="preserve">Cleveland Business Mentors</w:t>
      </w:r>
    </w:p>
    <w:p>
      <w:pPr>
        <w:spacing w:after="200"/>
      </w:pPr>
      <w:r>
        <w:rPr>
          <w:rFonts w:ascii="Arial" w:cs="Arial" w:eastAsia="Arial" w:hAnsi="Arial"/>
          <w:b/>
          <w:bCs/>
          <w:i w:val="false"/>
          <w:iCs w:val="false"/>
          <w:color w:val="1F3864"/>
          <w:sz w:val="40"/>
          <w:szCs w:val="40"/>
        </w:rPr>
        <w:t xml:space="preserve">Campaign Group Entity PRD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Document Type</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Entity PRD</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Entity</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Campaign Group (Custom — Base Type)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Implementation</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Cleveland Business Mentors</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Version</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1.0</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Draft</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Last Updated</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04-17-26 11:45</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Source Documents</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 Domain PRD v1.0, CR-MARKETING-CAMPAIGNS v1.0, Entity Inventory v1.4</w:t>
            </w:r>
          </w:p>
        </w:tc>
      </w:tr>
    </w:tbl>
    <w:p>
      <w:r>
        <w:br w:type="page"/>
      </w:r>
    </w:p>
    <w:p>
      <w:pPr>
        <w:pStyle w:val="Heading1"/>
        <w:spacing w:after="120" w:before="360"/>
      </w:pPr>
      <w:r>
        <w:rPr>
          <w:rFonts w:ascii="Arial" w:cs="Arial" w:eastAsia="Arial" w:hAnsi="Arial"/>
          <w:b/>
          <w:bCs/>
          <w:i w:val="false"/>
          <w:iCs w:val="false"/>
          <w:color w:val="1F3864"/>
          <w:sz w:val="32"/>
          <w:szCs w:val="32"/>
        </w:rPr>
        <w:t xml:space="preserve">1. Entity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 Entity Name</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Campaign Group</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Native / Custom</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Custom</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Entity Type</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Base</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Display Label (Singular)</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Campaign Group</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Display Label (Plural)</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Campaign Groups</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Activity Stream</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Primary Domain</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Recruiting (CR)</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Contributing Domains</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Recruiting (CR)</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The Campaign Group entity is a lightweight organizational container that groups related Marketing Campaigns into a coordinated multi-touch effort (e.g., a “Spring 2026 Awareness Push” spanning several emails and an SMS reminder). It is a single-domain custom entity owned exclusively by the Client Recruiting (CR) domain within the CR-MARKETING sub-domain.</w:t>
      </w:r>
    </w:p>
    <w:p>
      <w:pPr>
        <w:spacing w:after="120"/>
      </w:pPr>
      <w:r>
        <w:rPr>
          <w:rFonts w:ascii="Arial" w:cs="Arial" w:eastAsia="Arial" w:hAnsi="Arial"/>
          <w:b w:val="false"/>
          <w:bCs w:val="false"/>
          <w:i w:val="false"/>
          <w:iCs w:val="false"/>
          <w:sz w:val="22"/>
          <w:szCs w:val="22"/>
        </w:rPr>
        <w:t xml:space="preserve">Campaign Group uses the Base entity type because it is a grouping and aggregation container, not a person, company, or calendar event. No calendar scheduling semantics are needed at the group level.</w:t>
      </w:r>
    </w:p>
    <w:p>
      <w:pPr>
        <w:spacing w:after="120"/>
      </w:pPr>
      <w:r>
        <w:rPr>
          <w:rFonts w:ascii="Arial" w:cs="Arial" w:eastAsia="Arial" w:hAnsi="Arial"/>
          <w:b w:val="false"/>
          <w:bCs w:val="false"/>
          <w:i w:val="false"/>
          <w:iCs w:val="false"/>
          <w:sz w:val="22"/>
          <w:szCs w:val="22"/>
        </w:rPr>
        <w:t xml:space="preserve">Campaign Group has no independent status. Its state is derived from the statuses of its child Campaign records. The entity has four custom fields — the smallest entity in the CR domain.</w:t>
      </w:r>
    </w:p>
    <w:p>
      <w:pPr>
        <w:spacing w:after="120"/>
      </w:pPr>
      <w:r>
        <w:rPr>
          <w:rFonts w:ascii="Arial" w:cs="Arial" w:eastAsia="Arial" w:hAnsi="Arial"/>
          <w:b w:val="false"/>
          <w:bCs w:val="false"/>
          <w:i w:val="false"/>
          <w:iCs w:val="false"/>
          <w:sz w:val="22"/>
          <w:szCs w:val="22"/>
        </w:rPr>
        <w:t xml:space="preserve">Campaign Group is optional. Standalone Campaigns that do not belong to a coordinated effort have no Campaign Group link.</w:t>
      </w:r>
    </w:p>
    <w:p>
      <w:r>
        <w:br w:type="page"/>
      </w:r>
    </w:p>
    <w:p>
      <w:pPr>
        <w:pStyle w:val="Heading1"/>
        <w:spacing w:after="120" w:before="360"/>
      </w:pPr>
      <w:r>
        <w:rPr>
          <w:rFonts w:ascii="Arial" w:cs="Arial" w:eastAsia="Arial" w:hAnsi="Arial"/>
          <w:b/>
          <w:bCs/>
          <w:i w:val="false"/>
          <w:iCs w:val="false"/>
          <w:color w:val="1F3864"/>
          <w:sz w:val="32"/>
          <w:szCs w:val="32"/>
        </w:rPr>
        <w:t xml:space="preserve">2. Native Fields</w:t>
      </w:r>
    </w:p>
    <w:p>
      <w:pPr>
        <w:spacing w:after="120"/>
      </w:pPr>
      <w:r>
        <w:rPr>
          <w:rFonts w:ascii="Arial" w:cs="Arial" w:eastAsia="Arial" w:hAnsi="Arial"/>
          <w:b w:val="false"/>
          <w:bCs w:val="false"/>
          <w:i w:val="false"/>
          <w:iCs w:val="false"/>
          <w:sz w:val="22"/>
          <w:szCs w:val="22"/>
        </w:rPr>
        <w:t xml:space="preserve">The following fields already exist on the Campaign Group entity because of its Base entity type. Custom Base entities have minimal native fields. These fields are not created by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000"/>
        <w:gridCol w:w="27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Native Field</w:t>
            </w:r>
          </w:p>
        </w:tc>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3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PRD Name(s) / Mapping</w:t>
            </w:r>
          </w:p>
        </w:tc>
        <w:tc>
          <w:tcPr>
            <w:tcW w:type="dxa" w:w="27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Referenced By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name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Maps to groupName (CR-MARKETING-CAMPAIGNS-DAT-038). The native name field may be used directly or a custom groupName field created alongside it. See Implementation Note 1.</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CR-MARKETING-CAMPAIGNS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createdAt</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 — record creation timestamp</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modifiedAt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 — last modified timestamp</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assignedUser</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 — assigned CRM user</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r>
    </w:tbl>
    <w:p>
      <w:pPr>
        <w:spacing w:after="120"/>
      </w:pPr>
      <w:r>
        <w:rPr>
          <w:rFonts w:ascii="Arial" w:cs="Arial" w:eastAsia="Arial" w:hAnsi="Arial"/>
          <w:b w:val="false"/>
          <w:bCs w:val="false"/>
          <w:i w:val="false"/>
          <w:iCs w:val="false"/>
          <w:sz w:val="22"/>
          <w:szCs w:val="22"/>
        </w:rPr>
        <w:t xml:space="preserve"/>
      </w:r>
    </w:p>
    <w:p>
      <w:r>
        <w:br w:type="page"/>
      </w:r>
    </w:p>
    <w:p>
      <w:pPr>
        <w:pStyle w:val="Heading1"/>
        <w:spacing w:after="120" w:before="360"/>
      </w:pPr>
      <w:r>
        <w:rPr>
          <w:rFonts w:ascii="Arial" w:cs="Arial" w:eastAsia="Arial" w:hAnsi="Arial"/>
          <w:b/>
          <w:bCs/>
          <w:i w:val="false"/>
          <w:iCs w:val="false"/>
          <w:color w:val="1F3864"/>
          <w:sz w:val="32"/>
          <w:szCs w:val="32"/>
        </w:rPr>
        <w:t xml:space="preserve">3. Custom Fields</w:t>
      </w:r>
    </w:p>
    <w:p>
      <w:pPr>
        <w:spacing w:after="120"/>
      </w:pPr>
      <w:r>
        <w:rPr>
          <w:rFonts w:ascii="Arial" w:cs="Arial" w:eastAsia="Arial" w:hAnsi="Arial"/>
          <w:b w:val="false"/>
          <w:bCs w:val="false"/>
          <w:i w:val="false"/>
          <w:iCs w:val="false"/>
          <w:sz w:val="22"/>
          <w:szCs w:val="22"/>
        </w:rPr>
        <w:t xml:space="preserve">Custom fields must be created via YAML program files.</w:t>
      </w:r>
    </w:p>
    <w:p>
      <w:pPr>
        <w:pStyle w:val="Heading2"/>
        <w:spacing w:after="120" w:before="240"/>
      </w:pPr>
      <w:r>
        <w:rPr>
          <w:rFonts w:ascii="Arial" w:cs="Arial" w:eastAsia="Arial" w:hAnsi="Arial"/>
          <w:b/>
          <w:bCs/>
          <w:i w:val="false"/>
          <w:iCs w:val="false"/>
          <w:color w:val="1F3864"/>
          <w:sz w:val="28"/>
          <w:szCs w:val="28"/>
        </w:rPr>
        <w:t xml:space="preserve">3.1 Group Definition</w:t>
      </w:r>
    </w:p>
    <w:p>
      <w:pPr>
        <w:spacing w:after="120"/>
      </w:pPr>
      <w:r>
        <w:rPr>
          <w:rFonts w:ascii="Arial" w:cs="Arial" w:eastAsia="Arial" w:hAnsi="Arial"/>
          <w:b w:val="false"/>
          <w:bCs w:val="false"/>
          <w:i w:val="false"/>
          <w:iCs w:val="false"/>
          <w:sz w:val="22"/>
          <w:szCs w:val="22"/>
        </w:rPr>
        <w:t xml:space="preserve">The following custom fields define the Campaign Group. All four fields are always visible with no dynamic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groupName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CR-MARKETING-CAMPAIGNS-DAT-038</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Human-readable label for the coordinated effort (e.g., “Spring 2026 Awareness Push”). Set by the Client Recruiter at creation.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may map to native name field. See Implementation Note 1.</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description</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text</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CR-MARKETING-CAMPAIGNS-DAT-039</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Free-text explanation of the coordinated effort’s goal.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startDate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CR-MARKETING-CAMPAIGNS-DAT-040</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When the coordinated effort begins. Informational only — no system behavior is driven by this date.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endDate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CR-MARKETING-CAMPAIGNS-DAT-041</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When the coordinated effort wraps up. Informational only — no system behavior is driven by this date.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w:t>
            </w:r>
          </w:p>
        </w:tc>
      </w:tr>
    </w:tbl>
    <w:p>
      <w:pPr>
        <w:spacing w:after="120"/>
      </w:pPr>
      <w:r>
        <w:rPr>
          <w:rFonts w:ascii="Arial" w:cs="Arial" w:eastAsia="Arial" w:hAnsi="Arial"/>
          <w:b w:val="false"/>
          <w:bCs w:val="false"/>
          <w:i w:val="false"/>
          <w:iCs w:val="false"/>
          <w:sz w:val="22"/>
          <w:szCs w:val="22"/>
        </w:rPr>
        <w:t xml:space="preserve"/>
      </w:r>
    </w:p>
    <w:p>
      <w:r>
        <w:br w:type="page"/>
      </w:r>
    </w:p>
    <w:p>
      <w:pPr>
        <w:pStyle w:val="Heading1"/>
        <w:spacing w:after="120" w:before="360"/>
      </w:pPr>
      <w:r>
        <w:rPr>
          <w:rFonts w:ascii="Arial" w:cs="Arial" w:eastAsia="Arial" w:hAnsi="Arial"/>
          <w:b/>
          <w:bCs/>
          <w:i w:val="false"/>
          <w:iCs w:val="false"/>
          <w:color w:val="1F3864"/>
          <w:sz w:val="32"/>
          <w:szCs w:val="32"/>
        </w:rPr>
        <w:t xml:space="preserve">4. Relationships</w:t>
      </w:r>
    </w:p>
    <w:p>
      <w:pPr>
        <w:spacing w:after="120"/>
      </w:pPr>
      <w:r>
        <w:rPr>
          <w:rFonts w:ascii="Arial" w:cs="Arial" w:eastAsia="Arial" w:hAnsi="Arial"/>
          <w:b w:val="false"/>
          <w:bCs w:val="false"/>
          <w:i w:val="false"/>
          <w:iCs w:val="false"/>
          <w:sz w:val="22"/>
          <w:szCs w:val="22"/>
        </w:rPr>
        <w:t xml:space="preserve">All relationships involving the Campaign Group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400"/>
        <w:gridCol w:w="1700"/>
        <w:gridCol w:w="1860"/>
      </w:tblGrid>
      <w:tr>
        <w:tc>
          <w:tcPr>
            <w:tcW w:type="dxa" w:w="2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Relationship</w:t>
            </w:r>
          </w:p>
        </w:tc>
        <w:tc>
          <w:tcPr>
            <w:tcW w:type="dxa" w:w="1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Related Entity</w:t>
            </w:r>
          </w:p>
        </w:tc>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Link Type</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PRD Reference</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Domain(s)</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Campaign Group → Marketing Campaign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Marketing Campaign</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oneToMany</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CR-MARKETING-CAMPAIGNS-DAT-028</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sz w:val="22"/>
          <w:szCs w:val="22"/>
        </w:rPr>
        <w:t xml:space="preserve">Note on Campaign link:</w:t>
      </w:r>
      <w:r>
        <w:rPr>
          <w:rFonts w:ascii="Arial" w:cs="Arial" w:eastAsia="Arial" w:hAnsi="Arial"/>
          <w:b w:val="false"/>
          <w:bCs w:val="false"/>
          <w:i w:val="false"/>
          <w:iCs w:val="false"/>
          <w:sz w:val="22"/>
          <w:szCs w:val="22"/>
        </w:rPr>
        <w:t xml:space="preserve"> The Campaign Group-to-Campaign relationship is the reverse of Campaign.campaignGroup (manyToOne from Campaign to Campaign Group). The Campaign Group’s detail view shows all child Campaigns in a related records panel. Aggregate metrics for the Campaign Group are derived from the child Campaigns at report time — they are not stored on the Campaign Group entity.</w:t>
      </w:r>
    </w:p>
    <w:p>
      <w:r>
        <w:br w:type="page"/>
      </w:r>
    </w:p>
    <w:p>
      <w:pPr>
        <w:pStyle w:val="Heading1"/>
        <w:spacing w:after="120" w:before="360"/>
      </w:pPr>
      <w:r>
        <w:rPr>
          <w:rFonts w:ascii="Arial" w:cs="Arial" w:eastAsia="Arial" w:hAnsi="Arial"/>
          <w:b/>
          <w:bCs/>
          <w:i w:val="false"/>
          <w:iCs w:val="false"/>
          <w:color w:val="1F3864"/>
          <w:sz w:val="32"/>
          <w:szCs w:val="32"/>
        </w:rPr>
        <w:t xml:space="preserve">5. Dynamic Logic Rules</w:t>
      </w:r>
    </w:p>
    <w:p>
      <w:pPr>
        <w:spacing w:after="120"/>
      </w:pPr>
      <w:r>
        <w:rPr>
          <w:rFonts w:ascii="Arial" w:cs="Arial" w:eastAsia="Arial" w:hAnsi="Arial"/>
          <w:b w:val="false"/>
          <w:bCs w:val="false"/>
          <w:i w:val="false"/>
          <w:iCs w:val="false"/>
          <w:sz w:val="22"/>
          <w:szCs w:val="22"/>
        </w:rPr>
        <w:t xml:space="preserve">Campaign Group has no type discriminator, no status lifecycle, and no conditional field visibility rules. All four custom fields are always visible.</w:t>
      </w:r>
    </w:p>
    <w:p>
      <w:r>
        <w:br w:type="page"/>
      </w:r>
    </w:p>
    <w:p>
      <w:pPr>
        <w:pStyle w:val="Heading1"/>
        <w:spacing w:after="120" w:before="360"/>
      </w:pPr>
      <w:r>
        <w:rPr>
          <w:rFonts w:ascii="Arial" w:cs="Arial" w:eastAsia="Arial" w:hAnsi="Arial"/>
          <w:b/>
          <w:bCs/>
          <w:i w:val="false"/>
          <w:iCs w:val="false"/>
          <w:color w:val="1F3864"/>
          <w:sz w:val="32"/>
          <w:szCs w:val="32"/>
        </w:rPr>
        <w:t xml:space="preserve">6. Layout Guidance</w:t>
      </w:r>
    </w:p>
    <w:p>
      <w:pPr>
        <w:spacing w:after="120"/>
      </w:pPr>
      <w:r>
        <w:rPr>
          <w:rFonts w:ascii="Arial" w:cs="Arial" w:eastAsia="Arial" w:hAnsi="Arial"/>
          <w:b w:val="false"/>
          <w:bCs w:val="false"/>
          <w:i w:val="false"/>
          <w:iCs w:val="false"/>
          <w:sz w:val="22"/>
          <w:szCs w:val="22"/>
        </w:rPr>
        <w:t xml:space="preserve">The following panel grouping is a recommendation for the Campaign Group detail view. Final layout is determined during YAML generation. Campaign Group is a compact entity; a single panel may suffice.</w:t>
      </w:r>
    </w:p>
    <w:p>
      <w:pPr>
        <w:spacing w:after="120"/>
      </w:pPr>
      <w:r>
        <w:rPr>
          <w:rFonts w:ascii="Arial" w:cs="Arial" w:eastAsia="Arial" w:hAnsi="Arial"/>
          <w:b/>
          <w:bCs/>
          <w:i w:val="false"/>
          <w:iCs w:val="false"/>
          <w:color w:val="1F3864"/>
          <w:sz w:val="22"/>
          <w:szCs w:val="22"/>
        </w:rPr>
        <w:t xml:space="preserve">Group Details Panel</w:t>
      </w:r>
    </w:p>
    <w:p>
      <w:pPr>
        <w:spacing w:after="120"/>
      </w:pPr>
      <w:r>
        <w:rPr>
          <w:rFonts w:ascii="Arial" w:cs="Arial" w:eastAsia="Arial" w:hAnsi="Arial"/>
          <w:b w:val="false"/>
          <w:bCs w:val="false"/>
          <w:i w:val="false"/>
          <w:iCs w:val="false"/>
          <w:sz w:val="22"/>
          <w:szCs w:val="22"/>
        </w:rPr>
        <w:t xml:space="preserve">groupName, description, startDate, endDate.</w:t>
      </w:r>
    </w:p>
    <w:p>
      <w:pPr>
        <w:spacing w:after="120"/>
      </w:pPr>
      <w:r>
        <w:rPr>
          <w:rFonts w:ascii="Arial" w:cs="Arial" w:eastAsia="Arial" w:hAnsi="Arial"/>
          <w:b/>
          <w:bCs/>
          <w:i w:val="false"/>
          <w:iCs w:val="false"/>
          <w:color w:val="1F3864"/>
          <w:sz w:val="22"/>
          <w:szCs w:val="22"/>
        </w:rPr>
        <w:t xml:space="preserve">Campaigns Panel</w:t>
      </w:r>
    </w:p>
    <w:p>
      <w:pPr>
        <w:spacing w:after="120"/>
      </w:pPr>
      <w:r>
        <w:rPr>
          <w:rFonts w:ascii="Arial" w:cs="Arial" w:eastAsia="Arial" w:hAnsi="Arial"/>
          <w:b w:val="false"/>
          <w:bCs w:val="false"/>
          <w:i w:val="false"/>
          <w:iCs w:val="false"/>
          <w:sz w:val="22"/>
          <w:szCs w:val="22"/>
        </w:rPr>
        <w:t xml:space="preserve">Marketing Campaign related records list (oneToMany reverse from Campaign.campaignGroup). Shows all Campaigns in this group.</w:t>
      </w:r>
    </w:p>
    <w:p>
      <w:pPr>
        <w:pStyle w:val="Heading1"/>
        <w:spacing w:after="120" w:before="360"/>
      </w:pPr>
      <w:r>
        <w:rPr>
          <w:rFonts w:ascii="Arial" w:cs="Arial" w:eastAsia="Arial" w:hAnsi="Arial"/>
          <w:b/>
          <w:bCs/>
          <w:i w:val="false"/>
          <w:iCs w:val="false"/>
          <w:color w:val="1F3864"/>
          <w:sz w:val="32"/>
          <w:szCs w:val="32"/>
        </w:rPr>
        <w:t xml:space="preserve">7. Implementation Notes</w:t>
      </w:r>
    </w:p>
    <w:p>
      <w:pPr>
        <w:spacing w:after="120"/>
      </w:pPr>
      <w:r>
        <w:rPr>
          <w:rFonts w:ascii="Arial" w:cs="Arial" w:eastAsia="Arial" w:hAnsi="Arial"/>
          <w:b/>
          <w:bCs/>
          <w:i w:val="false"/>
          <w:iCs w:val="false"/>
          <w:sz w:val="22"/>
          <w:szCs w:val="22"/>
        </w:rPr>
        <w:t xml:space="preserve">1. groupName vs. native name:</w:t>
      </w:r>
      <w:r>
        <w:rPr>
          <w:rFonts w:ascii="Arial" w:cs="Arial" w:eastAsia="Arial" w:hAnsi="Arial"/>
          <w:b w:val="false"/>
          <w:bCs w:val="false"/>
          <w:i w:val="false"/>
          <w:iCs w:val="false"/>
          <w:sz w:val="22"/>
          <w:szCs w:val="22"/>
        </w:rPr>
        <w:t xml:space="preserve"> The process document defines groupName as a varchar field. The native Base entity provides a name field. During YAML generation, determine whether groupName should be implemented as the native name field (relabeled) or as a separate custom field alongside the native name. Using the native name is preferred if it supports the desired display behavior.</w:t>
      </w:r>
    </w:p>
    <w:p>
      <w:pPr>
        <w:spacing w:after="120"/>
      </w:pPr>
      <w:r>
        <w:rPr>
          <w:rFonts w:ascii="Arial" w:cs="Arial" w:eastAsia="Arial" w:hAnsi="Arial"/>
          <w:b/>
          <w:bCs/>
          <w:i w:val="false"/>
          <w:iCs w:val="false"/>
          <w:sz w:val="22"/>
          <w:szCs w:val="22"/>
        </w:rPr>
        <w:t xml:space="preserve">2. No independent status:</w:t>
      </w:r>
      <w:r>
        <w:rPr>
          <w:rFonts w:ascii="Arial" w:cs="Arial" w:eastAsia="Arial" w:hAnsi="Arial"/>
          <w:b w:val="false"/>
          <w:bCs w:val="false"/>
          <w:i w:val="false"/>
          <w:iCs w:val="false"/>
          <w:sz w:val="22"/>
          <w:szCs w:val="22"/>
        </w:rPr>
        <w:t xml:space="preserve"> Campaign Group has no status field. Its operational state is derived from the statuses of its child Campaign records. A Campaign Group is “active” when it has Campaigns in Draft or Scheduled status, and “complete” when all child Campaigns are at Complete or Cancelled. This derivation is for reporting purposes only — it is computed at query time, not stored.</w:t>
      </w:r>
    </w:p>
    <w:p>
      <w:pPr>
        <w:spacing w:after="120"/>
      </w:pPr>
      <w:r>
        <w:rPr>
          <w:rFonts w:ascii="Arial" w:cs="Arial" w:eastAsia="Arial" w:hAnsi="Arial"/>
          <w:b/>
          <w:bCs/>
          <w:i w:val="false"/>
          <w:iCs w:val="false"/>
          <w:sz w:val="22"/>
          <w:szCs w:val="22"/>
        </w:rPr>
        <w:t xml:space="preserve">3. Aggregate metrics:</w:t>
      </w:r>
      <w:r>
        <w:rPr>
          <w:rFonts w:ascii="Arial" w:cs="Arial" w:eastAsia="Arial" w:hAnsi="Arial"/>
          <w:b w:val="false"/>
          <w:bCs w:val="false"/>
          <w:i w:val="false"/>
          <w:iCs w:val="false"/>
          <w:sz w:val="22"/>
          <w:szCs w:val="22"/>
        </w:rPr>
        <w:t xml:space="preserve"> The Campaign Group Rollup Report (defined in CR-MARKETING-CAMPAIGNS) computes aggregate metrics across all child Campaigns. These metrics are not stored on the Campaign Group entity; they are computed at report generation time by summing the aggregate fields from child Campaign records.</w:t>
      </w:r>
    </w:p>
    <w:p>
      <w:pPr>
        <w:spacing w:after="120"/>
      </w:pPr>
      <w:r>
        <w:rPr>
          <w:rFonts w:ascii="Arial" w:cs="Arial" w:eastAsia="Arial" w:hAnsi="Arial"/>
          <w:b/>
          <w:bCs/>
          <w:i w:val="false"/>
          <w:iCs w:val="false"/>
          <w:sz w:val="22"/>
          <w:szCs w:val="22"/>
        </w:rPr>
        <w:t xml:space="preserve">4. Product name restriction:</w:t>
      </w:r>
      <w:r>
        <w:rPr>
          <w:rFonts w:ascii="Arial" w:cs="Arial" w:eastAsia="Arial" w:hAnsi="Arial"/>
          <w:b w:val="false"/>
          <w:bCs w:val="false"/>
          <w:i w:val="false"/>
          <w:iCs w:val="false"/>
          <w:sz w:val="22"/>
          <w:szCs w:val="22"/>
        </w:rPr>
        <w:t xml:space="preserve"> This document is a Level 2 Entity PRD. No specific CRM product names appear in this document. All references to platform capabilities use generic terminology.</w:t>
      </w:r>
    </w:p>
    <w:p>
      <w:r>
        <w:br w:type="page"/>
      </w:r>
    </w:p>
    <w:p>
      <w:pPr>
        <w:pStyle w:val="Heading1"/>
        <w:spacing w:after="120" w:before="360"/>
      </w:pPr>
      <w:r>
        <w:rPr>
          <w:rFonts w:ascii="Arial" w:cs="Arial" w:eastAsia="Arial" w:hAnsi="Arial"/>
          <w:b/>
          <w:bCs/>
          <w:i w:val="false"/>
          <w:iCs w:val="false"/>
          <w:color w:val="1F3864"/>
          <w:sz w:val="32"/>
          <w:szCs w:val="32"/>
        </w:rPr>
        <w:t xml:space="preserve">8. Open Issues</w:t>
      </w:r>
    </w:p>
    <w:p>
      <w:pPr>
        <w:spacing w:after="120"/>
      </w:pPr>
      <w:r>
        <w:rPr>
          <w:rFonts w:ascii="Arial" w:cs="Arial" w:eastAsia="Arial" w:hAnsi="Arial"/>
          <w:b w:val="false"/>
          <w:bCs w:val="false"/>
          <w:i/>
          <w:iCs/>
          <w:sz w:val="22"/>
          <w:szCs w:val="22"/>
        </w:rPr>
        <w:t xml:space="preserve">No open issues.</w:t>
      </w:r>
    </w:p>
    <w:p>
      <w:pPr>
        <w:pStyle w:val="Heading1"/>
        <w:spacing w:after="120" w:before="360"/>
      </w:pPr>
      <w:r>
        <w:rPr>
          <w:rFonts w:ascii="Arial" w:cs="Arial" w:eastAsia="Arial" w:hAnsi="Arial"/>
          <w:b/>
          <w:bCs/>
          <w:i w:val="false"/>
          <w:iCs w:val="false"/>
          <w:color w:val="1F3864"/>
          <w:sz w:val="32"/>
          <w:szCs w:val="32"/>
        </w:rPr>
        <w:t xml:space="preserve">9. Decisions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7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Decision</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CG-DEC-001</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Base entity type chosen. Campaign Group is a grouping and aggregation container. No calendar scheduling semantics needed at the group level.</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CG-DEC-002</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 activity stream. Campaign Group is a lightweight organizational container with minimal fields and infrequent direct edits.</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CG-DEC-003</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 independent status field. State is derived from child Campaign statuses at report time. Storing a derived status would require synchronization workflows without proportional value.</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CG-DEC-004</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Campaign Group is optional. Standalone Campaigns do not require a Campaign Group link. The campaignGroup field on Campaign is not required.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Arial" w:cs="Arial" w:eastAsia="Arial" w:hAnsi="Arial"/>
        <w:b w:val="false"/>
        <w:bCs w:val="false"/>
        <w:i w:val="false"/>
        <w:iCs w:val="false"/>
        <w:color w:val="888888"/>
        <w:sz w:val="16"/>
        <w:szCs w:val="16"/>
      </w:rPr>
      <w:t xml:space="preserve">Entity PRD — Campaign Group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spacing w:after="0"/>
    </w:pPr>
    <w:r>
      <w:rPr>
        <w:rFonts w:ascii="Arial" w:cs="Arial" w:eastAsia="Arial" w:hAnsi="Arial"/>
        <w:b/>
        <w:bCs/>
        <w:i w:val="false"/>
        <w:iCs w:val="false"/>
        <w:color w:val="1F3864"/>
        <w:sz w:val="20"/>
        <w:szCs w:val="20"/>
      </w:rPr>
      <w:t xml:space="preserve">Cleveland Business Mentors</w:t>
    </w:r>
    <w:r>
      <w:rPr>
        <w:rFonts w:ascii="Arial" w:cs="Arial" w:eastAsia="Arial" w:hAnsi="Arial"/>
      </w:rPr>
      <w:t xml:space="preserve">	</w:t>
    </w:r>
    <w:r>
      <w:rPr>
        <w:rFonts w:ascii="Arial" w:cs="Arial" w:eastAsia="Arial" w:hAnsi="Arial"/>
        <w:b w:val="false"/>
        <w:bCs w:val="false"/>
        <w:i w:val="false"/>
        <w:iCs w:val="false"/>
        <w:color w:val="888888"/>
        <w:sz w:val="20"/>
        <w:szCs w:val="20"/>
      </w:rPr>
      <w:t xml:space="preserve">Campaign Group Entity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2026-04-18T03:59:43.096Z</dcterms:created>
  <dcterms:modified xsi:type="dcterms:W3CDTF">2026-04-18T03:59:43.097Z</dcterms:modified>
</cp:coreProperties>
</file>

<file path=docProps/custom.xml><?xml version="1.0" encoding="utf-8"?>
<Properties xmlns="http://schemas.openxmlformats.org/officeDocument/2006/custom-properties" xmlns:vt="http://schemas.openxmlformats.org/officeDocument/2006/docPropsVTypes"/>
</file>