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Marketing Campaign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 (Custom — Base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04-17-26 12:00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Domain PRD v1.0, CR-MARKETING-CAMPAIGNS v1.0, CR-REACTIVATE-OUTREACH v1.0, CR-REACTIVATE SDO v1.0, Entity Inventory v1.4, Segment Entity PRD v1.0, Campaign Group Entity PRD v1.0</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Marketing Campaign entity represents a single outbound marketing or reactivation send. One record per send. It is a custom entity owned by the Client Recruiting (CR) domain, shared between two sub-domains: CR-MARKETING (campaign execution and tracking) and CR-REACTIVATE (reactivation outreach).</w:t>
      </w:r>
    </w:p>
    <w:p>
      <w:pPr>
        <w:spacing w:after="120"/>
      </w:pPr>
      <w:r>
        <w:rPr>
          <w:rFonts w:ascii="Arial" w:cs="Arial" w:eastAsia="Arial" w:hAnsi="Arial"/>
          <w:b w:val="false"/>
          <w:bCs w:val="false"/>
          <w:i w:val="false"/>
          <w:iCs w:val="false"/>
          <w:sz w:val="22"/>
          <w:szCs w:val="22"/>
        </w:rPr>
        <w:t xml:space="preserve">Marketing Campaign uses the Base entity type because the primary purpose is metadata tracking and engagement aggregation, not calendar scheduling. The external marketing platform handles actual send scheduling; the CRM Campaign record is a metadata and reporting anchor. Named “Marketing Campaign” to disambiguate from the existing Fundraising Campaign entity.</w:t>
      </w:r>
    </w:p>
    <w:p>
      <w:pPr>
        <w:spacing w:after="120"/>
      </w:pPr>
      <w:r>
        <w:rPr>
          <w:rFonts w:ascii="Arial" w:cs="Arial" w:eastAsia="Arial" w:hAnsi="Arial"/>
          <w:b w:val="false"/>
          <w:bCs w:val="false"/>
          <w:i w:val="false"/>
          <w:iCs w:val="false"/>
          <w:sz w:val="22"/>
          <w:szCs w:val="22"/>
        </w:rPr>
        <w:t xml:space="preserve">The entity uses a unified five-value status lifecycle for all channels: Draft, Scheduled, Sent, Complete, Cancelled (CR-RECON-DEC-001). No channel-dependent status restriction is enforced at the entity level. The channel field (Email, SMS, Reactivation) distinguishes campaign types, and the population field is applicable only when channel is Reactivation.</w:t>
      </w:r>
    </w:p>
    <w:p>
      <w:pPr>
        <w:spacing w:after="120"/>
      </w:pPr>
      <w:r>
        <w:rPr>
          <w:rFonts w:ascii="Arial" w:cs="Arial" w:eastAsia="Arial" w:hAnsi="Arial"/>
          <w:b w:val="false"/>
          <w:bCs w:val="false"/>
          <w:i w:val="false"/>
          <w:iCs w:val="false"/>
          <w:sz w:val="22"/>
          <w:szCs w:val="22"/>
        </w:rPr>
        <w:t xml:space="preserve">Fields are consolidated from CR-MARKETING-CAMPAIGNS (15 fields) and CR-REACTIVATE-OUTREACH (2 additional fields: population and sendDate). Aggregate metrics (totalRecipients through totalUnsubscribed) are workflow-updated from Campaign Engagement records.</w:t>
      </w:r>
    </w:p>
    <w:p>
      <w:pPr>
        <w:spacing w:after="120"/>
      </w:pPr>
      <w:r>
        <w:rPr>
          <w:rFonts w:ascii="Arial" w:cs="Arial" w:eastAsia="Arial" w:hAnsi="Arial"/>
          <w:b/>
          <w:bCs/>
          <w:i w:val="false"/>
          <w:iCs w:val="false"/>
          <w:sz w:val="22"/>
          <w:szCs w:val="22"/>
        </w:rPr>
        <w:t xml:space="preserve">Dual-mode operation:</w:t>
      </w:r>
      <w:r>
        <w:rPr>
          <w:rFonts w:ascii="Arial" w:cs="Arial" w:eastAsia="Arial" w:hAnsi="Arial"/>
          <w:b w:val="false"/>
          <w:bCs w:val="false"/>
          <w:i w:val="false"/>
          <w:iCs w:val="false"/>
          <w:sz w:val="22"/>
          <w:szCs w:val="22"/>
        </w:rPr>
        <w:t xml:space="preserve"> Marketing Campaigns support dual-mode operation throughout: fully manual when marketing platform integration is limited, fully automatic when deeply connected, or any combination. Reactivation Campaigns use CRM-native email sends without an external marketing platform.</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Marketing Campaign entity because of its Base entity type. Custom Base entities have minimal native fields. These fields are not created by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Maps to campaignName (CR-MARKETING-CAMPAIGNS-DAT-023). Human-readable label. See Implementation Note 1.</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 CR-REACTIVATE-OUTREACH</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functional group.</w:t>
      </w:r>
    </w:p>
    <w:p>
      <w:pPr>
        <w:pStyle w:val="Heading2"/>
        <w:spacing w:after="120" w:before="240"/>
      </w:pPr>
      <w:r>
        <w:rPr>
          <w:rFonts w:ascii="Arial" w:cs="Arial" w:eastAsia="Arial" w:hAnsi="Arial"/>
          <w:b/>
          <w:bCs/>
          <w:i w:val="false"/>
          <w:iCs w:val="false"/>
          <w:color w:val="1F3864"/>
          <w:sz w:val="28"/>
          <w:szCs w:val="28"/>
        </w:rPr>
        <w:t xml:space="preserve">3.1 Campaign Identity</w:t>
      </w:r>
    </w:p>
    <w:p>
      <w:pPr>
        <w:spacing w:after="120"/>
      </w:pPr>
      <w:r>
        <w:rPr>
          <w:rFonts w:ascii="Arial" w:cs="Arial" w:eastAsia="Arial" w:hAnsi="Arial"/>
          <w:b w:val="false"/>
          <w:bCs w:val="false"/>
          <w:i w:val="false"/>
          <w:iCs w:val="false"/>
          <w:sz w:val="22"/>
          <w:szCs w:val="22"/>
        </w:rPr>
        <w:t xml:space="preserve">The following fields identify the campaign and its delivery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Human-readable label for the campaign (e.g., “March Newsletter,” “Spring Open House Reminder”). Set by the Client Recruiter at creation.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may map to native name field. See Implementation Note 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channel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SMS, Reactivation</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delivery channel for this send. Set by the Client Recruiter at creation for Email and SMS; system-set to Reactivation for all Campaigns created through the reactivation workflow. Three-value enum expanded from two values (Email, SMS) by CR-REACTIVATE SDO.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(CR-MARKETING, CR-REACTIVATE).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population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Former Client, Event Attendee, Inactive Prospect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CR-REACTIVATE-OUTREACH-DAT-028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Applicable when channel = Reactivation. System-set from the originating saved list when the Campaign is created through the reactivation workflow. Enables the Reactivation Campaign Performance report to group by population. Not used for Email or SMS channels.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channel = Reactivation.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(CR-REACTIVATE).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system-set, readOnly.</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3.2 Planning and Scheduling</w:t>
      </w:r>
    </w:p>
    <w:p>
      <w:pPr>
        <w:spacing w:after="120"/>
      </w:pPr>
      <w:r>
        <w:rPr>
          <w:rFonts w:ascii="Arial" w:cs="Arial" w:eastAsia="Arial" w:hAnsi="Arial"/>
          <w:b w:val="false"/>
          <w:bCs w:val="false"/>
          <w:i w:val="false"/>
          <w:iCs w:val="false"/>
          <w:sz w:val="22"/>
          <w:szCs w:val="22"/>
        </w:rPr>
        <w:t xml:space="preserve">The following fields support campaign planning and send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targetSegment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(Segment)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Segment record that defines the audience for this Campaign. Set by the Client Recruiter at creation. Consumes the forward-reference established in CR-MARKETING-CONTACTS-DAT-052.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relationship to Segment.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plannedSendDate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Client Recruiter plans to send this campaign. Set at creation.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(CR-MARKETING).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actualSendDate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campaign was actually sent. Populated when the Campaign transitions to Sent — from the marketing platform’s send confirmation in automatic mode, or entered by the Client Recruiter in manual mode.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(CR-MARKETING).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sendDate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CR-REACTIVATE-OUTREACH-DAT-030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Campaign dispatch for reactivation sends. System-populated at send time. Applicable when channel = Reactivation (single-action create-and-send workflow).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channel = Reactivation.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(CR-REACTIVATE).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3.3 Status and Organization</w:t>
      </w:r>
    </w:p>
    <w:p>
      <w:pPr>
        <w:spacing w:after="120"/>
      </w:pPr>
      <w:r>
        <w:rPr>
          <w:rFonts w:ascii="Arial" w:cs="Arial" w:eastAsia="Arial" w:hAnsi="Arial"/>
          <w:b w:val="false"/>
          <w:bCs w:val="false"/>
          <w:i w:val="false"/>
          <w:iCs w:val="false"/>
          <w:sz w:val="22"/>
          <w:szCs w:val="22"/>
        </w:rPr>
        <w:t xml:space="preserve">The following fields track campaign lifecycle state and organizational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 Scheduled, Sent, Complete, Cancelled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Campaign lifecycle status. Unified five-value lifecycle for all channels (CR-RECON-DEC-001). Valid transitions: Draft → Scheduled, Scheduled → Sent, Sent → Complete, Draft → Cancelled, Scheduled → Cancelled. No backward transitions. Supports dual-mode operation (manual and/or automatic).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(CR-MARKETING, CR-REACTIVATE).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transition enforcement via workflow.</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externalCampaignId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marketing platform’s campaign identifier. Links the CRM Campaign record to its platform counterpart for engagement data matching. Populated manually or automatically. Not applicable for Reactivation channel (CRM-native sends).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(CR-MARKETING).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campaignGroup</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(Campaign Group)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Optional link to a Campaign Group for coordinated multi-touch efforts. May be set at creation or added retroactively.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relationship to Campaign Group.</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campaignNotes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commentary: campaign purpose, partner coordination context, lessons learned, or any other notes. Editable at any point in the Campaign lifecycle.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3.4 Aggregate Metrics</w:t>
      </w:r>
    </w:p>
    <w:p>
      <w:pPr>
        <w:spacing w:after="120"/>
      </w:pPr>
      <w:r>
        <w:rPr>
          <w:rFonts w:ascii="Arial" w:cs="Arial" w:eastAsia="Arial" w:hAnsi="Arial"/>
          <w:b w:val="false"/>
          <w:bCs w:val="false"/>
          <w:i w:val="false"/>
          <w:iCs w:val="false"/>
          <w:sz w:val="22"/>
          <w:szCs w:val="22"/>
        </w:rPr>
        <w:t xml:space="preserve">The following fields store campaign-level aggregate metrics. These are workflow-updated from Campaign Engagement records or manually entered, depending on the integration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totalRecipients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Campaign Engagement records for this Campaign. Workflow-updated or manually entered.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workflow-updated from Campaign Engagement count.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totalSent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Campaign Engagement records where sent = true.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workflow-updated.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totalOpened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Campaign Engagement records where opened = true.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workflow-updated.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totalClicked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Campaign Engagement records where clicked = true.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workflow-updated.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totalBounced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Campaign Engagement records where bounced = true.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workflow-updated.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totalUnsubscribed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Campaign Engagement records where unsubscribed = true. Reactivation Campaigns will typically show zero (Reactivation does not populate unsubscribed per CR-RECON-DEC-002).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workflow-updated.</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Marketing Campaign entity, compiled from the CR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 → Segment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Segment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CR-MARKETING-CAMPAIGNS-DAT-025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Campaign → Campaign Group</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Group</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CR-MARKETING-CAMPAIGNS-DAT-028</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 → Campaign Engagement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Engagement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CR-MARKETING-CAMPAIGNS-DAT-043 (reverse)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Segment link:</w:t>
      </w:r>
      <w:r>
        <w:rPr>
          <w:rFonts w:ascii="Arial" w:cs="Arial" w:eastAsia="Arial" w:hAnsi="Arial"/>
          <w:b w:val="false"/>
          <w:bCs w:val="false"/>
          <w:i w:val="false"/>
          <w:iCs w:val="false"/>
          <w:sz w:val="22"/>
          <w:szCs w:val="22"/>
        </w:rPr>
        <w:t xml:space="preserve"> Each Campaign targets one Segment. A Segment may be targeted by many Campaigns. The Segment’s detail view shows all Campaigns that targeted it.</w:t>
      </w:r>
    </w:p>
    <w:p>
      <w:pPr>
        <w:spacing w:after="120"/>
      </w:pPr>
      <w:r>
        <w:rPr>
          <w:rFonts w:ascii="Arial" w:cs="Arial" w:eastAsia="Arial" w:hAnsi="Arial"/>
          <w:b/>
          <w:bCs/>
          <w:i w:val="false"/>
          <w:iCs w:val="false"/>
          <w:sz w:val="22"/>
          <w:szCs w:val="22"/>
        </w:rPr>
        <w:t xml:space="preserve">Note on Campaign Engagement:</w:t>
      </w:r>
      <w:r>
        <w:rPr>
          <w:rFonts w:ascii="Arial" w:cs="Arial" w:eastAsia="Arial" w:hAnsi="Arial"/>
          <w:b w:val="false"/>
          <w:bCs w:val="false"/>
          <w:i w:val="false"/>
          <w:iCs w:val="false"/>
          <w:sz w:val="22"/>
          <w:szCs w:val="22"/>
        </w:rPr>
        <w:t xml:space="preserve"> Campaign Engagement records are linked via Campaign Engagement.campaign (manyToOne). The Campaign’s detail view shows all per-recipient engagement records. Aggregate metric fields on Campaign are workflow-updated from these records.</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Marketing Campaign has no type discriminator. Dynamic logic rules are based on the channel field value.</w:t>
      </w:r>
    </w:p>
    <w:p>
      <w:pPr>
        <w:pStyle w:val="Heading2"/>
        <w:spacing w:after="120" w:before="240"/>
      </w:pPr>
      <w:r>
        <w:rPr>
          <w:rFonts w:ascii="Arial" w:cs="Arial" w:eastAsia="Arial" w:hAnsi="Arial"/>
          <w:b/>
          <w:bCs/>
          <w:i w:val="false"/>
          <w:iCs w:val="false"/>
          <w:color w:val="1F3864"/>
          <w:sz w:val="28"/>
          <w:szCs w:val="28"/>
        </w:rPr>
        <w:t xml:space="preserve">5.1 Channel-Driven Field Visibility</w:t>
      </w:r>
    </w:p>
    <w:p>
      <w:pPr>
        <w:spacing w:after="120"/>
      </w:pPr>
      <w:r>
        <w:rPr>
          <w:rFonts w:ascii="Arial" w:cs="Arial" w:eastAsia="Arial" w:hAnsi="Arial"/>
          <w:b w:val="false"/>
          <w:bCs w:val="false"/>
          <w:i w:val="false"/>
          <w:iCs w:val="false"/>
          <w:sz w:val="22"/>
          <w:szCs w:val="22"/>
        </w:rPr>
        <w:t xml:space="preserve">The channel field drives visibility of Reactivation-specific fields:</w:t>
      </w:r>
    </w:p>
    <w:p>
      <w:pPr>
        <w:pStyle w:val="ListParagraph"/>
        <w:numPr>
          <w:ilvl w:val="0"/>
          <w:numId w:val="2"/>
        </w:numPr>
        <w:spacing w:after="60"/>
      </w:pPr>
      <w:r>
        <w:rPr>
          <w:rFonts w:ascii="Arial" w:cs="Arial" w:eastAsia="Arial" w:hAnsi="Arial"/>
          <w:b/>
          <w:bCs/>
          <w:i w:val="false"/>
          <w:iCs w:val="false"/>
          <w:sz w:val="22"/>
          <w:szCs w:val="22"/>
        </w:rPr>
        <w:t xml:space="preserve">channel = Reactivation:</w:t>
      </w:r>
      <w:r>
        <w:rPr>
          <w:rFonts w:ascii="Arial" w:cs="Arial" w:eastAsia="Arial" w:hAnsi="Arial"/>
          <w:b w:val="false"/>
          <w:bCs w:val="false"/>
          <w:i w:val="false"/>
          <w:iCs w:val="false"/>
          <w:sz w:val="22"/>
          <w:szCs w:val="22"/>
        </w:rPr>
        <w:t xml:space="preserve"> Show population, sendDate.</w:t>
      </w:r>
    </w:p>
    <w:p>
      <w:pPr>
        <w:pStyle w:val="ListParagraph"/>
        <w:numPr>
          <w:ilvl w:val="0"/>
          <w:numId w:val="2"/>
        </w:numPr>
        <w:spacing w:after="60"/>
      </w:pPr>
      <w:r>
        <w:rPr>
          <w:rFonts w:ascii="Arial" w:cs="Arial" w:eastAsia="Arial" w:hAnsi="Arial"/>
          <w:b/>
          <w:bCs/>
          <w:i w:val="false"/>
          <w:iCs w:val="false"/>
          <w:sz w:val="22"/>
          <w:szCs w:val="22"/>
        </w:rPr>
        <w:t xml:space="preserve">channel = Email or SMS:</w:t>
      </w:r>
      <w:r>
        <w:rPr>
          <w:rFonts w:ascii="Arial" w:cs="Arial" w:eastAsia="Arial" w:hAnsi="Arial"/>
          <w:b w:val="false"/>
          <w:bCs w:val="false"/>
          <w:i w:val="false"/>
          <w:iCs w:val="false"/>
          <w:sz w:val="22"/>
          <w:szCs w:val="22"/>
        </w:rPr>
        <w:t xml:space="preserve"> Hide population, sendDate.</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Marketing Campaign detail view. Final layout is determined during YAML generation.</w:t>
      </w:r>
    </w:p>
    <w:p>
      <w:pPr>
        <w:spacing w:after="120"/>
      </w:pPr>
      <w:r>
        <w:rPr>
          <w:rFonts w:ascii="Arial" w:cs="Arial" w:eastAsia="Arial" w:hAnsi="Arial"/>
          <w:b/>
          <w:bCs/>
          <w:i w:val="false"/>
          <w:iCs w:val="false"/>
          <w:color w:val="1F3864"/>
          <w:sz w:val="22"/>
          <w:szCs w:val="22"/>
        </w:rPr>
        <w:t xml:space="preserve">Overview Panel</w:t>
      </w:r>
    </w:p>
    <w:p>
      <w:pPr>
        <w:spacing w:after="120"/>
      </w:pPr>
      <w:r>
        <w:rPr>
          <w:rFonts w:ascii="Arial" w:cs="Arial" w:eastAsia="Arial" w:hAnsi="Arial"/>
          <w:b w:val="false"/>
          <w:bCs w:val="false"/>
          <w:i w:val="false"/>
          <w:iCs w:val="false"/>
          <w:sz w:val="22"/>
          <w:szCs w:val="22"/>
        </w:rPr>
        <w:t xml:space="preserve">campaignName, channel, status, population (visible when Reactivation), targetSegment, campaignGroup.</w:t>
      </w:r>
    </w:p>
    <w:p>
      <w:pPr>
        <w:spacing w:after="120"/>
      </w:pPr>
      <w:r>
        <w:rPr>
          <w:rFonts w:ascii="Arial" w:cs="Arial" w:eastAsia="Arial" w:hAnsi="Arial"/>
          <w:b/>
          <w:bCs/>
          <w:i w:val="false"/>
          <w:iCs w:val="false"/>
          <w:color w:val="1F3864"/>
          <w:sz w:val="22"/>
          <w:szCs w:val="22"/>
        </w:rPr>
        <w:t xml:space="preserve">Schedule Panel</w:t>
      </w:r>
    </w:p>
    <w:p>
      <w:pPr>
        <w:spacing w:after="120"/>
      </w:pPr>
      <w:r>
        <w:rPr>
          <w:rFonts w:ascii="Arial" w:cs="Arial" w:eastAsia="Arial" w:hAnsi="Arial"/>
          <w:b w:val="false"/>
          <w:bCs w:val="false"/>
          <w:i w:val="false"/>
          <w:iCs w:val="false"/>
          <w:sz w:val="22"/>
          <w:szCs w:val="22"/>
        </w:rPr>
        <w:t xml:space="preserve">plannedSendDate, actualSendDate, sendDate (visible when Reactivation), externalCampaignId.</w:t>
      </w:r>
    </w:p>
    <w:p>
      <w:pPr>
        <w:spacing w:after="120"/>
      </w:pPr>
      <w:r>
        <w:rPr>
          <w:rFonts w:ascii="Arial" w:cs="Arial" w:eastAsia="Arial" w:hAnsi="Arial"/>
          <w:b/>
          <w:bCs/>
          <w:i w:val="false"/>
          <w:iCs w:val="false"/>
          <w:color w:val="1F3864"/>
          <w:sz w:val="22"/>
          <w:szCs w:val="22"/>
        </w:rPr>
        <w:t xml:space="preserve">Metrics Panel</w:t>
      </w:r>
    </w:p>
    <w:p>
      <w:pPr>
        <w:spacing w:after="120"/>
      </w:pPr>
      <w:r>
        <w:rPr>
          <w:rFonts w:ascii="Arial" w:cs="Arial" w:eastAsia="Arial" w:hAnsi="Arial"/>
          <w:b w:val="false"/>
          <w:bCs w:val="false"/>
          <w:i w:val="false"/>
          <w:iCs w:val="false"/>
          <w:sz w:val="22"/>
          <w:szCs w:val="22"/>
        </w:rPr>
        <w:t xml:space="preserve">totalRecipients, totalSent, totalOpened, totalClicked, totalBounced, totalUnsubscribed.</w:t>
      </w:r>
    </w:p>
    <w:p>
      <w:pPr>
        <w:spacing w:after="120"/>
      </w:pPr>
      <w:r>
        <w:rPr>
          <w:rFonts w:ascii="Arial" w:cs="Arial" w:eastAsia="Arial" w:hAnsi="Arial"/>
          <w:b/>
          <w:bCs/>
          <w:i w:val="false"/>
          <w:iCs w:val="false"/>
          <w:color w:val="1F3864"/>
          <w:sz w:val="22"/>
          <w:szCs w:val="22"/>
        </w:rPr>
        <w:t xml:space="preserve">Notes Panel</w:t>
      </w:r>
    </w:p>
    <w:p>
      <w:pPr>
        <w:spacing w:after="120"/>
      </w:pPr>
      <w:r>
        <w:rPr>
          <w:rFonts w:ascii="Arial" w:cs="Arial" w:eastAsia="Arial" w:hAnsi="Arial"/>
          <w:b w:val="false"/>
          <w:bCs w:val="false"/>
          <w:i w:val="false"/>
          <w:iCs w:val="false"/>
          <w:sz w:val="22"/>
          <w:szCs w:val="22"/>
        </w:rPr>
        <w:t xml:space="preserve">campaignNotes.</w:t>
      </w:r>
    </w:p>
    <w:p>
      <w:pPr>
        <w:spacing w:after="120"/>
      </w:pPr>
      <w:r>
        <w:rPr>
          <w:rFonts w:ascii="Arial" w:cs="Arial" w:eastAsia="Arial" w:hAnsi="Arial"/>
          <w:b/>
          <w:bCs/>
          <w:i w:val="false"/>
          <w:iCs w:val="false"/>
          <w:color w:val="1F3864"/>
          <w:sz w:val="22"/>
          <w:szCs w:val="22"/>
        </w:rPr>
        <w:t xml:space="preserve">Engagements Panel</w:t>
      </w:r>
    </w:p>
    <w:p>
      <w:pPr>
        <w:spacing w:after="120"/>
      </w:pPr>
      <w:r>
        <w:rPr>
          <w:rFonts w:ascii="Arial" w:cs="Arial" w:eastAsia="Arial" w:hAnsi="Arial"/>
          <w:b w:val="false"/>
          <w:bCs w:val="false"/>
          <w:i w:val="false"/>
          <w:iCs w:val="false"/>
          <w:sz w:val="22"/>
          <w:szCs w:val="22"/>
        </w:rPr>
        <w:t xml:space="preserve">Campaign Engagement related records list (oneToMany reverse). Per-recipient engagement detail.</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campaignName vs. native name:</w:t>
      </w:r>
      <w:r>
        <w:rPr>
          <w:rFonts w:ascii="Arial" w:cs="Arial" w:eastAsia="Arial" w:hAnsi="Arial"/>
          <w:b w:val="false"/>
          <w:bCs w:val="false"/>
          <w:i w:val="false"/>
          <w:iCs w:val="false"/>
          <w:sz w:val="22"/>
          <w:szCs w:val="22"/>
        </w:rPr>
        <w:t xml:space="preserve"> The process document defines campaignName as a varchar field. The native Base entity provides a name field. During YAML generation, determine whether campaignName should be implemented as the native name field (relabeled) or as a separate custom field.</w:t>
      </w:r>
    </w:p>
    <w:p>
      <w:pPr>
        <w:spacing w:after="120"/>
      </w:pPr>
      <w:r>
        <w:rPr>
          <w:rFonts w:ascii="Arial" w:cs="Arial" w:eastAsia="Arial" w:hAnsi="Arial"/>
          <w:b/>
          <w:bCs/>
          <w:i w:val="false"/>
          <w:iCs w:val="false"/>
          <w:sz w:val="22"/>
          <w:szCs w:val="22"/>
        </w:rPr>
        <w:t xml:space="preserve">2. Unified status lifecycle (CR-RECON-DEC-001):</w:t>
      </w:r>
      <w:r>
        <w:rPr>
          <w:rFonts w:ascii="Arial" w:cs="Arial" w:eastAsia="Arial" w:hAnsi="Arial"/>
          <w:b w:val="false"/>
          <w:bCs w:val="false"/>
          <w:i w:val="false"/>
          <w:iCs w:val="false"/>
          <w:sz w:val="22"/>
          <w:szCs w:val="22"/>
        </w:rPr>
        <w:t xml:space="preserve"> All five status values are available regardless of channel. The Reactivation channel operationally uses a subset (Draft, Sent, Cancelled) but the system does not enforce channel-specific status restrictions. This simplifies the entity definition while allowing the full lifecycle for all channels.</w:t>
      </w:r>
    </w:p>
    <w:p>
      <w:pPr>
        <w:spacing w:after="120"/>
      </w:pPr>
      <w:r>
        <w:rPr>
          <w:rFonts w:ascii="Arial" w:cs="Arial" w:eastAsia="Arial" w:hAnsi="Arial"/>
          <w:b/>
          <w:bCs/>
          <w:i w:val="false"/>
          <w:iCs w:val="false"/>
          <w:sz w:val="22"/>
          <w:szCs w:val="22"/>
        </w:rPr>
        <w:t xml:space="preserve">3. Status transition enforcement:</w:t>
      </w:r>
      <w:r>
        <w:rPr>
          <w:rFonts w:ascii="Arial" w:cs="Arial" w:eastAsia="Arial" w:hAnsi="Arial"/>
          <w:b w:val="false"/>
          <w:bCs w:val="false"/>
          <w:i w:val="false"/>
          <w:iCs w:val="false"/>
          <w:sz w:val="22"/>
          <w:szCs w:val="22"/>
        </w:rPr>
        <w:t xml:space="preserve"> Valid transitions: Draft → Scheduled, Scheduled → Sent, Sent → Complete, Draft → Cancelled, Scheduled → Cancelled. No backward transitions. Enforced via workflow. Dual-mode operation means transitions may be triggered manually by the Client Recruiter or automatically by platform integration events.</w:t>
      </w:r>
    </w:p>
    <w:p>
      <w:pPr>
        <w:spacing w:after="120"/>
      </w:pPr>
      <w:r>
        <w:rPr>
          <w:rFonts w:ascii="Arial" w:cs="Arial" w:eastAsia="Arial" w:hAnsi="Arial"/>
          <w:b/>
          <w:bCs/>
          <w:i w:val="false"/>
          <w:iCs w:val="false"/>
          <w:sz w:val="22"/>
          <w:szCs w:val="22"/>
        </w:rPr>
        <w:t xml:space="preserve">4. Aggregate metrics workflow:</w:t>
      </w:r>
      <w:r>
        <w:rPr>
          <w:rFonts w:ascii="Arial" w:cs="Arial" w:eastAsia="Arial" w:hAnsi="Arial"/>
          <w:b w:val="false"/>
          <w:bCs w:val="false"/>
          <w:i w:val="false"/>
          <w:iCs w:val="false"/>
          <w:sz w:val="22"/>
          <w:szCs w:val="22"/>
        </w:rPr>
        <w:t xml:space="preserve"> Six aggregate metric fields are workflow-updated from Campaign Engagement records. The workflow fires when a Campaign Engagement record is created or updated, recalculating the relevant count on the parent Campaign. In manual mode, the Client Recruiter may enter these values directly.</w:t>
      </w:r>
    </w:p>
    <w:p>
      <w:pPr>
        <w:spacing w:after="120"/>
      </w:pPr>
      <w:r>
        <w:rPr>
          <w:rFonts w:ascii="Arial" w:cs="Arial" w:eastAsia="Arial" w:hAnsi="Arial"/>
          <w:b/>
          <w:bCs/>
          <w:i w:val="false"/>
          <w:iCs w:val="false"/>
          <w:sz w:val="22"/>
          <w:szCs w:val="22"/>
        </w:rPr>
        <w:t xml:space="preserve">5. Reactivation Campaign creation:</w:t>
      </w:r>
      <w:r>
        <w:rPr>
          <w:rFonts w:ascii="Arial" w:cs="Arial" w:eastAsia="Arial" w:hAnsi="Arial"/>
          <w:b w:val="false"/>
          <w:bCs w:val="false"/>
          <w:i w:val="false"/>
          <w:iCs w:val="false"/>
          <w:sz w:val="22"/>
          <w:szCs w:val="22"/>
        </w:rPr>
        <w:t xml:space="preserve"> Reactivation Campaigns are created through a single-action create-and-send workflow from the reactivation saved lists. The system pre-sets channel = Reactivation, population from the originating saved list, and sendDate at dispatch time. plannedSendDate may be set but is not operationally significant for Reactivation’s immediate-send pattern.</w:t>
      </w:r>
    </w:p>
    <w:p>
      <w:pPr>
        <w:spacing w:after="120"/>
      </w:pPr>
      <w:r>
        <w:rPr>
          <w:rFonts w:ascii="Arial" w:cs="Arial" w:eastAsia="Arial" w:hAnsi="Arial"/>
          <w:b/>
          <w:bCs/>
          <w:i w:val="false"/>
          <w:iCs w:val="false"/>
          <w:sz w:val="22"/>
          <w:szCs w:val="22"/>
        </w:rPr>
        <w:t xml:space="preserve">6.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p>
      <w:pPr>
        <w:spacing w:after="120"/>
      </w:pPr>
      <w:r>
        <w:rPr>
          <w:rFonts w:ascii="Arial" w:cs="Arial" w:eastAsia="Arial" w:hAnsi="Arial"/>
          <w:b w:val="false"/>
          <w:bCs w:val="false"/>
          <w:i/>
          <w:iCs/>
          <w:sz w:val="22"/>
          <w:szCs w:val="22"/>
        </w:rPr>
        <w:t xml:space="preserve">No open issues.</w:t>
      </w:r>
    </w:p>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MC-DEC-001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 entity type chosen. The primary purpose is metadata tracking and engagement aggregation, not calendar scheduling. Named Marketing Campaign to disambiguate from Fundraising Campaign.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MC-DEC-002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Unified five-value status lifecycle for all channels (CR-RECON-DEC-001): Draft, Scheduled, Sent, Complete, Cancelled. No channel-dependent status restriction enforced at the entity level.</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MC-DEC-003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Three-value channel enum: Email, SMS, Reactivation. The Reactivation value was added by the CR-REACTIVATE Sub-Domain Overview to distinguish reactivation Campaigns from marketing Campaigns on the shared entity.</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MC-DEC-004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population field applicable only when channel = Reactivation. System-set from the originating saved list. Enables Reactivation-specific reporting without affecting Email and SMS Campaigns.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MC-DEC-005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sendDate (from CR-REACTIVATE-OUTREACH) is distinct from actualSendDate (from CR-MARKETING-CAMPAIGNS). sendDate captures the dispatch timestamp for CRM-native reactivation sends; actualSendDate captures the send timestamp from the external marketing platform. Both are datetime fields applicable to different channel contexts.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MC-DEC-006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activity stream. Marketing Campaign is a high-volume operational record where activity stream overhead is not justified.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MC-DEC-007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Six aggregate metric fields stored on the Campaign entity (totalRecipients through totalUnsubscribed). Workflow-updated from Campaign Engagement records. Supports dual-mode entry: automatic via workflow or manual via direct edit.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Marketing Campaign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Marketing Campaign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2026-04-18T04:02:26.103Z</dcterms:created>
  <dcterms:modified xsi:type="dcterms:W3CDTF">2026-04-18T04:02:26.103Z</dcterms:modified>
</cp:coreProperties>
</file>

<file path=docProps/custom.xml><?xml version="1.0" encoding="utf-8"?>
<Properties xmlns="http://schemas.openxmlformats.org/officeDocument/2006/custom-properties" xmlns:vt="http://schemas.openxmlformats.org/officeDocument/2006/docPropsVTypes"/>
</file>