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Cleveland Business Mentors</w:t>
      </w:r>
    </w:p>
    <w:p>
      <w:pPr>
        <w:spacing w:after="120"/>
        <w:jc w:val="center"/>
      </w:pPr>
      <w:r>
        <w:rPr>
          <w:rFonts w:ascii="Arial" w:cs="Arial" w:eastAsia="Arial" w:hAnsi="Arial"/>
          <w:color w:val="595959"/>
          <w:sz w:val="28"/>
          <w:szCs w:val="28"/>
        </w:rPr>
        <w:t xml:space="preserve">Section PRD: Client &amp; Mentor Management (CRM)</w:t>
      </w:r>
    </w:p>
    <w:p>
      <w:pPr>
        <w:spacing w:after="48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Version 0.2  |  Platform Selected  |  2025</w:t>
      </w:r>
    </w:p>
    <w:p>
      <w:pPr>
        <w:pBdr>
          <w:bottom w:val="single" w:color="1F4E79" w:sz="6" w:space="1"/>
        </w:pBdr>
      </w:pPr>
      <w:r>
        <w:t xml:space="preserve"/>
      </w:r>
    </w:p>
    <w:p>
      <w:r>
        <w:t xml:space="preserve"/>
      </w:r>
    </w:p>
    <w:p>
      <w:pPr>
        <w:pStyle w:val="Heading1"/>
      </w:pPr>
      <w:r>
        <w:t xml:space="preserve">1. Overview</w:t>
      </w:r>
    </w:p>
    <w:p>
      <w:pPr>
        <w:spacing w:after="120"/>
      </w:pPr>
      <w:r>
        <w:t xml:space="preserve">The CRM is the operational heart of Cleveland Business Mentors. It manages client intake, volunteer profiles, mentor-client matching, session tracking, all communications, workshop registration, NPS tracking, inactivity monitoring, and impact reporting.</w:t>
      </w:r>
    </w:p>
    <w:p>
      <w:pPr>
        <w:spacing w:after="120"/>
      </w:pPr>
      <w:r>
        <w:t xml:space="preserve">All client and mentor communications flow through the CRM — it is the single source of truth for all organizational data. External tools may integrate with the CRM but must feed data back into it.</w:t>
      </w:r>
    </w:p>
    <w:p>
      <w:r>
        <w:t xml:space="preserve"/>
      </w:r>
    </w:p>
    <w:p>
      <w:pPr>
        <w:pStyle w:val="Heading1"/>
      </w:pPr>
      <w:r>
        <w:t xml:space="preserve">2. Platform Decision</w:t>
      </w:r>
    </w:p>
    <w:p>
      <w:pPr>
        <w:spacing w:after="120"/>
      </w:pPr>
      <w:r>
        <w:rPr>
          <w:b/>
          <w:bCs/>
          <w:color w:val="375623"/>
        </w:rPr>
        <w:t xml:space="preserve">✓ DECIDED: EspoCRM — self-hosted on AWS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55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Platform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Decision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SELECTED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FOSS, self-hosted on AWS, fully customizable data model, native email threading with inbound reply capture, workflow automation engine, REST API, no per-seat costs, modern senior-accessible UI.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HubSpot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SELECTED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40% nonprofit discount available but still significant cost. Not FOSS, not self-hosted. Designed for sales/marketing, not mentoring workflows. Volunteer familiarity assessed as minimal (spec knowledge only, not hands-on). Documented as evaluated alternative.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Attio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FUTURE FALLBACK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Most modern UI and flexible data model. Not FOSS, not self-hosted, per-seat SaaS costs scale with mentor base. Retained as fallback if EspoCRM proves insufficient.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3. Architectural Principles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CRM is the single source of truth — all data originates or lands here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External tools may integrate but must sync data back to CRM automatically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Mentors and clients interact with as few systems as possible — CRM abstracts complexity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Client-facing interactions are email-based — clients never need to log into the CRM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All mentor-client communications flow through the CRM for tracking and inactivity monitoring</w:t>
      </w:r>
    </w:p>
    <w:p>
      <w:r>
        <w:t xml:space="preserve"/>
      </w:r>
    </w:p>
    <w:p>
      <w:pPr>
        <w:pStyle w:val="Heading1"/>
      </w:pPr>
      <w:r>
        <w:t xml:space="preserve">4. Mentoring Lifecycle</w:t>
      </w:r>
    </w:p>
    <w:p>
      <w:pPr>
        <w:spacing w:after="120"/>
      </w:pPr>
      <w:r>
        <w:t xml:space="preserve">The core workflow the CRM must support:</w:t>
      </w:r>
    </w:p>
    <w:p>
      <w: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Client discovers CBM via website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Client submits intake request via CRM-native form embedded on website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Admin reviews request and assigns primary mentor (with optional co-mentor)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and client are introduced via CRM-generated email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Sessions occur — mentor logs notes and outcomes in CRM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CRM monitors inactivity — flags and triggers follow-up if no activity within threshold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requests initiated by mentor if specialist input needed — SME accepts or declines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Engagement concludes — NPS survey triggered automatically to client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Outcome recorded — milestone data captured for impact reporting</w:t>
      </w:r>
    </w:p>
    <w:p>
      <w:r>
        <w:t xml:space="preserve"/>
      </w:r>
    </w:p>
    <w:p>
      <w:pPr>
        <w:pStyle w:val="Heading1"/>
      </w:pPr>
      <w:r>
        <w:t xml:space="preserve">5. Volunteer Role Model</w:t>
      </w:r>
    </w:p>
    <w:p>
      <w:pPr>
        <w:spacing w:after="120"/>
      </w:pPr>
      <w:r>
        <w:t xml:space="preserve">A single volunteer profile supports multiple concurrent roles: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1800"/>
        <w:gridCol w:w="27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Capacity Managed?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Primary Mentor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Owns the client relationship. Ongoing one-to-one commitment.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Accepting clients toggle + max active clients setting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Co-Mentor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Paired with primary mentor. Limited commitment, specific experience.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 (lower)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Always paired with a primary. Training flag available for mentor development engagements.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Subject Matter Expert (SME)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On-demand specialist. Specific skill or topic area.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Request/accept/decline workflow. Initiated by primary mentor. Can decline any engagement.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5.1 Volunteer Profile Data Model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Single profile per volunteer regardless of roles held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Roles are additive — mentor, co-mentor, SME, or any combination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Industry expertise tags (e.g., retail, manufacturing, nonprofit, tech, food service)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Functional skill tags (e.g., marketing, finance, operations, HR, fundraising, governance)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Accepting new clients toggle (per mentor/co-mentor role)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Maximum active clients setting (numeric, per mentor/co-mentor role)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Current active client count (system-calculated)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SME availability toggle with topic/skill tags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Membership dues status</w:t>
      </w:r>
    </w:p>
    <w:p>
      <w:r>
        <w:t xml:space="preserve"/>
      </w:r>
    </w:p>
    <w:p>
      <w:pPr>
        <w:pStyle w:val="Heading1"/>
      </w:pPr>
      <w:r>
        <w:t xml:space="preserve">6. Mentor-Client Matching</w:t>
      </w:r>
    </w:p>
    <w:p>
      <w:pPr>
        <w:pStyle w:val="Heading2"/>
      </w:pPr>
      <w:r>
        <w:t xml:space="preserve">6.1 Phase 1 — Manual Assignment (Launch)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reviews client intake request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browses mentor pool filtered by expertise, skills, availability, and capacity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assigns primary mentor — system verifies mentor is accepting clients and has capacity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Co-mentor optionally assigned — system flags if training engagement</w:t>
      </w:r>
    </w:p>
    <w:p>
      <w:r>
        <w:t xml:space="preserve"/>
      </w:r>
    </w:p>
    <w:p>
      <w:pPr>
        <w:pStyle w:val="Heading2"/>
      </w:pPr>
      <w:r>
        <w:t xml:space="preserve">6.2 Phase 2 — Automated Suggestion (Future)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System suggests ranked mentor candidates based on client industry/needs vs. mentor expertise/skills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Filter applied automatically: accepting clients = true, current clients &lt; max active clients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reviews suggestions and makes final assignment decision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Data model designed from day one to support this — no restructuring required</w:t>
      </w:r>
    </w:p>
    <w:p>
      <w:r>
        <w:t xml:space="preserve"/>
      </w:r>
    </w:p>
    <w:p>
      <w:pPr>
        <w:pStyle w:val="Heading1"/>
      </w:pPr>
      <w:r>
        <w:t xml:space="preserve">7. Communication Requirements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All mentor-client communication flows through CRM — no personal email accounts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Outbound emails sent from CRM with unique reply-to address per engagement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Inbound client replies captured automatically against engagement record (email threading)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Clients interact via normal email reply or email link to CRM form — no login required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Full communication history visible to assigned mentor and admin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 access scoped to own clients only — cannot see other engagements</w:t>
      </w:r>
    </w:p>
    <w:p>
      <w:r>
        <w:t xml:space="preserve"/>
      </w:r>
    </w:p>
    <w:p>
      <w:pPr>
        <w:pStyle w:val="Heading1"/>
      </w:pPr>
      <w:r>
        <w:t xml:space="preserve">8. Inactivity Tracking &amp; Follow-Up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Last contact date tracked as visible field on every active engagement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CRM workflow triggers alert when no communication logged for configurable threshold (e.g., 14 days)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can trigger manual or automated follow-up reminder to mentor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Inactivity report available on admin dashboard</w:t>
      </w:r>
    </w:p>
    <w:p>
      <w:r>
        <w:t xml:space="preserve"/>
      </w:r>
    </w:p>
    <w:p>
      <w:pPr>
        <w:pStyle w:val="Heading1"/>
      </w:pPr>
      <w:r>
        <w:t xml:space="preserve">9. SME Request Workflow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Primary mentor identifies need for specialist input during client engagement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browses SME pool by skill/topic tags within CRM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submits SME request — specifies topic and context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receives notification and reviews request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accepts or declines — declining requires no explanation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If accepted: SME gains scoped access to relevant client record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session logged against engagement record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engagement concludes — access revoked, outcome recorded</w:t>
      </w:r>
    </w:p>
    <w:p>
      <w:r>
        <w:t xml:space="preserve"/>
      </w:r>
    </w:p>
    <w:p>
      <w:pPr>
        <w:pStyle w:val="Heading1"/>
      </w:pPr>
      <w:r>
        <w:t xml:space="preserve">10. NPS Tracking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NPS survey triggered automatically at engagement close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Optional mid-engagement trigger for longer engagements (configurable threshold)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Survey delivered via CRM-generated email with link to embedded form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Client submits score (0–10) and optional comment — no login required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Score recorded against client record in CRM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Aggregate NPS scores available in impact reporting dashboard</w:t>
      </w:r>
    </w:p>
    <w:p>
      <w:pPr>
        <w:spacing w:after="120"/>
      </w:pPr>
      <w:r>
        <w:rPr>
          <w:i/>
          <w:iCs/>
          <w:color w:val="595959"/>
        </w:rPr>
        <w:t xml:space="preserve">Note: If CRM-native NPS is insufficient, a lightweight survey tool integration (e.g., LimeSurvey — FOSS) will post results back to CRM via API.</w:t>
      </w:r>
    </w:p>
    <w:p>
      <w:r>
        <w:t xml:space="preserve"/>
      </w:r>
    </w:p>
    <w:p>
      <w:pPr>
        <w:pStyle w:val="Heading1"/>
      </w:pPr>
      <w:r>
        <w:t xml:space="preserve">11. Workshop &amp; Event Management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All workshop and event registration managed within CRM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CRM-native event registration forms embedded on website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Attendance tracked against contact records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Post-event follow-up automated via CRM workflow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Workshop attendance feeds into impact reporting</w:t>
      </w:r>
    </w:p>
    <w:p>
      <w:r>
        <w:t xml:space="preserve"/>
      </w:r>
    </w:p>
    <w:p>
      <w:pPr>
        <w:pStyle w:val="Heading1"/>
      </w:pPr>
      <w:r>
        <w:t xml:space="preserve">12. Functional Requirements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800"/>
        <w:gridCol w:w="3560"/>
      </w:tblGrid>
      <w:tr>
        <w:trPr>
          <w:tblHeader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Native or Integration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record management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Native — EspoCRM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Volunteer profile with multiple roles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Native — custom entities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 capacity management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Native — custom fields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mentor-client matching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Native — relationship model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Automated matching suggestions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Future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Custom development — Phase 2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 threading / inbound reply capture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Native — EspoCRM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Inactivity tracking &amp; alerts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Native — workflow automation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SME request workflow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Native — custom workflow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NPS survey triggers &amp; capture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Native or integration (LimeSurvey)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Workshop &amp; event registration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Native — EspoCRM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Role-based access control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Native — EspoCRM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Impact reporting &amp; dashboards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Native — EspoCRM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export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Native — EspoCRM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 API for integrations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Native — EspoCRM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Donor management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Nice to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Evaluate EspoCRM capability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Dues tracking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Native — custom entity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13. Open Questions</w:t>
      </w:r>
    </w:p>
    <w:p>
      <w:pPr>
        <w:spacing w:after="120"/>
      </w:pPr>
      <w:r>
        <w:rPr>
          <w:i/>
          <w:iCs/>
          <w:color w:val="B8860B"/>
        </w:rPr>
        <w:t xml:space="preserve">○ OPEN: Scheduling — will EspoCRM native calendar/activity features suffice, or is a dedicated scheduling tool (e.g., Cal.com) required? Deferred to Section 5 — Scheduling.</w:t>
      </w:r>
    </w:p>
    <w:p>
      <w:pPr>
        <w:spacing w:after="120"/>
      </w:pPr>
      <w:r>
        <w:rPr>
          <w:i/>
          <w:iCs/>
          <w:color w:val="B8860B"/>
        </w:rPr>
        <w:t xml:space="preserve">○ OPEN: Donor management — evaluate whether EspoCRM can handle donor tracking natively or if a separate tool is needed.</w:t>
      </w:r>
    </w:p>
    <w:p>
      <w:pPr>
        <w:spacing w:after="120"/>
      </w:pPr>
      <w:r>
        <w:rPr>
          <w:i/>
          <w:iCs/>
          <w:color w:val="B8860B"/>
        </w:rPr>
        <w:t xml:space="preserve">○ OPEN: Dues payment processing — determine PCI-compliant payment integration for annual volunteer dues.</w:t>
      </w:r>
    </w:p>
    <w:p>
      <w:pPr>
        <w:spacing w:after="120"/>
      </w:pPr>
      <w:r>
        <w:rPr>
          <w:i/>
          <w:iCs/>
          <w:color w:val="B8860B"/>
        </w:rPr>
        <w:t xml:space="preserve">○ OPEN: Video/virtual meeting integration — how are virtual mentoring sessions initiated and logged? (e.g., Jitsi Meet, Google Meet integration)</w:t>
      </w:r>
    </w:p>
    <w:p>
      <w:pPr>
        <w:spacing w:after="120"/>
      </w:pPr>
      <w:r>
        <w:rPr>
          <w:i/>
          <w:iCs/>
          <w:color w:val="B8860B"/>
        </w:rPr>
        <w:t xml:space="preserve">○ OPEN: Backup and recovery strategy for self-hosted EspoCRM on AWS.</w:t>
      </w:r>
    </w:p>
    <w:p>
      <w:r>
        <w:t xml:space="preserve"/>
      </w:r>
    </w:p>
    <w:p>
      <w:pPr>
        <w:pStyle w:val="Heading1"/>
      </w:pPr>
      <w:r>
        <w:t xml:space="preserve">14. 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Platform Selected — Implementation Details Pending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Last Updated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 Review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After EspoCRM installation and initial configuration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4" w:space="4"/>
      </w:pBdr>
      <w:tabs>
        <w:tab w:val="right" w:pos="9360"/>
      </w:tabs>
    </w:pPr>
    <w:r>
      <w:rPr>
        <w:rFonts w:ascii="Arial" w:cs="Arial" w:eastAsia="Arial" w:hAnsi="Arial"/>
        <w:color w:val="595959"/>
        <w:sz w:val="16"/>
        <w:szCs w:val="16"/>
      </w:rPr>
      <w:t xml:space="preserve">CONFIDENTIAL  —  Internal Use Only</w:t>
    </w:r>
    <w:r>
      <w:rPr>
        <w:rFonts w:ascii="Arial" w:cs="Arial" w:eastAsia="Arial" w:hAnsi="Arial"/>
        <w:color w:val="595959"/>
        <w:sz w:val="16"/>
        <w:szCs w:val="16"/>
      </w:rPr>
      <w:t xml:space="preserve">	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4" w:space="4"/>
      </w:pBdr>
    </w:pPr>
    <w:r>
      <w:rPr>
        <w:rFonts w:ascii="Arial" w:cs="Arial" w:eastAsia="Arial" w:hAnsi="Arial"/>
        <w:b/>
        <w:bCs/>
        <w:color w:val="1F4E79"/>
        <w:sz w:val="18"/>
        <w:szCs w:val="18"/>
      </w:rPr>
      <w:t xml:space="preserve">Cleveland Business Mentors  |  </w:t>
    </w:r>
    <w:r>
      <w:rPr>
        <w:rFonts w:ascii="Arial" w:cs="Arial" w:eastAsia="Arial" w:hAnsi="Arial"/>
        <w:color w:val="595959"/>
        <w:sz w:val="18"/>
        <w:szCs w:val="18"/>
      </w:rPr>
      <w:t xml:space="preserve">Section PRD: CRM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59595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2026-03-05T18:12:24.919Z</dcterms:created>
  <dcterms:modified xsi:type="dcterms:W3CDTF">2026-03-05T18:12:24.920Z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