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6"/>
          <w:szCs w:val="36"/>
        </w:rPr>
        <w:t>Cleveland Business Mentors</w:t>
      </w:r>
    </w:p>
    <w:p>
      <w:pPr>
        <w:pStyle w:val="Normal"/>
        <w:spacing w:before="0" w:after="200"/>
        <w:jc w:val="center"/>
        <w:rPr/>
      </w:pPr>
      <w:r>
        <w:rPr>
          <w:b/>
          <w:bCs/>
          <w:sz w:val="32"/>
          <w:szCs w:val="32"/>
        </w:rPr>
        <w:t>Domain Overview: Client Recruiting (CR)</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Version</w:t>
            </w:r>
          </w:p>
        </w:tc>
        <w:tc>
          <w:tcPr>
            <w:tcW w:w="7359" w:type="dxa"/>
            <w:tcBorders>
              <w:top w:val="single" w:sz="2" w:space="0" w:color="CCCCCC"/>
              <w:left w:val="single" w:sz="2" w:space="0" w:color="CCCCCC"/>
              <w:bottom w:val="single" w:sz="2" w:space="0" w:color="CCCCCC"/>
              <w:right w:val="single" w:sz="2" w:space="0" w:color="CCCCCC"/>
            </w:tcBorders>
          </w:tcPr>
          <w:p>
            <w:r>
              <w:t>1.5</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Status</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Draft</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Last Updated</w:t>
            </w:r>
          </w:p>
        </w:tc>
        <w:tc>
          <w:tcPr>
            <w:tcW w:w="7359" w:type="dxa"/>
            <w:tcBorders>
              <w:top w:val="single" w:sz="2" w:space="0" w:color="CCCCCC"/>
              <w:left w:val="single" w:sz="2" w:space="0" w:color="CCCCCC"/>
              <w:bottom w:val="single" w:sz="2" w:space="0" w:color="CCCCCC"/>
              <w:right w:val="single" w:sz="2" w:space="0" w:color="CCCCCC"/>
            </w:tcBorders>
          </w:tcPr>
          <w:p>
            <w:r>
              <w:t>05-29-26 16:30</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Domain Code</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Depends On</w:t>
            </w:r>
          </w:p>
        </w:tc>
        <w:tc>
          <w:tcPr>
            <w:tcW w:w="7359" w:type="dxa"/>
            <w:tcBorders>
              <w:top w:val="single" w:sz="2" w:space="0" w:color="CCCCCC"/>
              <w:left w:val="single" w:sz="2" w:space="0" w:color="CCCCCC"/>
              <w:bottom w:val="single" w:sz="2" w:space="0" w:color="CCCCCC"/>
              <w:right w:val="single" w:sz="2" w:space="0" w:color="CCCCCC"/>
            </w:tcBorders>
          </w:tcPr>
          <w:p>
            <w:r>
              <w:t>CBM-Master-PRD.docx v2.5, CBM-Entity-Inventory.docx v1.5, Contact-Entity-PRD.docx v1.6, Account-Entity-PRD.docx v1.6</w:t>
            </w:r>
          </w:p>
        </w:tc>
      </w:tr>
    </w:tbl>
    <w:p>
      <w:pPr>
        <w:pStyle w:val="Normal"/>
        <w:spacing w:before="0" w:after="200"/>
        <w:rPr/>
      </w:pPr>
      <w:r>
        <w:rPr/>
      </w:r>
    </w:p>
    <w:p>
      <w:pPr>
        <w:pStyle w:val="Heading1"/>
        <w:spacing w:before="240" w:after="200"/>
        <w:rPr/>
      </w:pPr>
      <w:r>
        <w:rPr/>
        <w:t>1. Domain Purpose</w:t>
      </w:r>
    </w:p>
    <w:p>
      <w:pPr>
        <w:pStyle w:val="Normal"/>
        <w:spacing w:before="0" w:after="200"/>
        <w:rPr/>
      </w:pPr>
      <w:r>
        <w:rPr/>
        <w:t>The Client Recruiting domain covers all activities that generate awareness of CBM’s mentoring program and attract prospective clients. It is the top of the funnel that feeds the Mentoring domain — without a steady flow of qualified clients, the core program cannot fulfill its mission.</w:t>
      </w:r>
    </w:p>
    <w:p>
      <w:pPr>
        <w:pStyle w:val="Normal"/>
        <w:spacing w:before="0" w:after="200"/>
        <w:rPr/>
      </w:pPr>
      <w:r>
        <w:rPr/>
        <w:t>Client Recruiting operates through five complementary sub-domains. Partner Relationship Management extends CBM’s reach into communities through formal partnerships with organizations that refer clients, contribute mentors, and co-sponsor programming. Outreach and Marketing generates awareness through communications channels including digital presence, content marketing, email campaigns, media relations, and direct grassroots outreach. Workshops and Event Management creates direct touchpoints with the business community through in-person and virtual events. Client Reactivation and Recovery maximizes return on prior recruiting investment by re-engaging former clients, incomplete applicants, and unconverted event attendees.</w:t>
      </w:r>
    </w:p>
    <w:p>
      <w:pPr>
        <w:pStyle w:val="Normal"/>
        <w:spacing w:before="0" w:after="200"/>
        <w:rPr/>
      </w:pPr>
      <w:r>
        <w:rPr/>
        <w:t>These five sub-domains are not separate programs — they are coordinated channels within a single domain united by the goal of connecting the right clients to CBM’s mentoring services. Partners co-sponsor events. Events generate attendees who become clients. Marketing campaigns promote events and follow up on partner referrals. Reactivation outreach recycles warm leads from all three other channels. The domain is designed to support this coordination through unified oversight, cross-sub-domain reporting, comparative channel effectiveness analysis, and a shared audience strategy for targeted community segments.</w:t>
      </w:r>
    </w:p>
    <w:p>
      <w:pPr>
        <w:pStyle w:val="Normal"/>
        <w:spacing w:before="0" w:after="200"/>
        <w:rPr/>
      </w:pPr>
      <w:r>
        <w:rPr/>
        <w:t>The domain’s boundary with the Mentoring domain is the client application. All CR activities aim to drive prospective clients to submit an application. Once the application is submitted — regardless of which channel produced it — the record enters the Mentoring domain’s Client Intake process (MN-INTAKE) and the Mentoring domain owns the lifecycle from that point forward. The CR domain’s contribution after application submission is limited to application source attribution, enabling CBM to measure which channels are producing clients.</w:t>
      </w:r>
    </w:p>
    <w:p>
      <w:pPr>
        <w:pStyle w:val="Heading2"/>
        <w:spacing w:before="240" w:after="200"/>
        <w:rPr/>
      </w:pPr>
      <w:r>
        <w:rPr/>
        <w:t>1.1 Sub-Domain Structure and Rationale</w:t>
      </w:r>
    </w:p>
    <w:p>
      <w:pPr>
        <w:pStyle w:val="Normal"/>
        <w:spacing w:before="0" w:after="200"/>
        <w:rPr/>
      </w:pPr>
      <w:r>
        <w:rPr/>
        <w:t>The Client Recruiting domain is organized into five sub-domains. Sub-domains are appropriate when autonomous process areas share a common purpose and benefit from unified oversight. Each CR sub-domain operates autonomously with its own process inventory, personas, and data, while the parent domain provides cross-sub-domain coordination, shared audience strategy, and consolidated analytics.</w:t>
      </w:r>
    </w:p>
    <w:tbl>
      <w:tblPr>
        <w:tblW w:w="9360" w:type="dxa"/>
        <w:jc w:val="left"/>
        <w:tblInd w:w="0" w:type="dxa"/>
        <w:tblLayout w:type="fixed"/>
        <w:tblCellMar>
          <w:top w:w="80" w:type="dxa"/>
          <w:left w:w="120" w:type="dxa"/>
          <w:bottom w:w="80" w:type="dxa"/>
          <w:right w:w="120" w:type="dxa"/>
        </w:tblCellMar>
      </w:tblPr>
      <w:tblGrid>
        <w:gridCol w:w="2199"/>
        <w:gridCol w:w="3200"/>
        <w:gridCol w:w="2400"/>
        <w:gridCol w:w="1560"/>
      </w:tblGrid>
      <w:tr>
        <w:trPr/>
        <w:tc>
          <w:tcPr>
            <w:tcW w:w="2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Sub-Domain</w:t>
            </w:r>
          </w:p>
        </w:tc>
        <w:tc>
          <w:tcPr>
            <w:tcW w:w="32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c>
          <w:tcPr>
            <w:tcW w:w="24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Scope</w:t>
            </w:r>
          </w:p>
        </w:tc>
        <w:tc>
          <w:tcPr>
            <w:tcW w:w="15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Tier</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CR-PARTNER</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Partner Relationship Management</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Full lifecycle of referral partnerships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Core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CR-MARKETING</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Outreach and Marketing</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Awareness generation through communications channels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CR-EVENTS</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Workshops and Event Management</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Planning, delivery, and follow-up of client-facing events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CR-REACTIVATE</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Client Reactivation and Recovery</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Re-engaging former clients, incomplete applications, unconverted attendees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b/>
                <w:bCs/>
                <w:sz w:val="22"/>
                <w:szCs w:val="22"/>
              </w:rPr>
              <w:t>CR-RESOURCES</w:t>
            </w:r>
          </w:p>
        </w:tc>
        <w:tc>
          <w:tcPr>
            <w:tcW w:w="3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Resource Library</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Publishing recordings and standalone assets to a public Resources page</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Enhancement</w:t>
            </w:r>
          </w:p>
        </w:tc>
      </w:tr>
    </w:tbl>
    <w:p>
      <w:pPr>
        <w:pStyle w:val="Normal"/>
        <w:spacing w:before="0" w:after="200"/>
        <w:rPr/>
      </w:pPr>
      <w:r>
        <w:rPr/>
      </w:r>
    </w:p>
    <w:p>
      <w:pPr>
        <w:pStyle w:val="Heading1"/>
        <w:spacing w:before="240" w:after="20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12155" cy="42760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12155" cy="4276090"/>
                    </a:xfrm>
                    <a:prstGeom prst="rect">
                      <a:avLst/>
                    </a:prstGeom>
                  </pic:spPr>
                </pic:pic>
              </a:graphicData>
            </a:graphic>
          </wp:anchor>
        </w:drawing>
      </w:r>
      <w:r>
        <w:br w:type="page"/>
      </w:r>
    </w:p>
    <w:p>
      <w:pPr>
        <w:pStyle w:val="Heading1"/>
        <w:spacing w:before="240" w:after="200"/>
        <w:rPr/>
      </w:pPr>
      <w:r>
        <w:rPr/>
        <w:t>2. Personas</w:t>
      </w:r>
    </w:p>
    <w:p>
      <w:pPr>
        <w:pStyle w:val="Normal"/>
        <w:spacing w:before="0" w:after="200"/>
        <w:rPr/>
      </w:pPr>
      <w:r>
        <w:rPr/>
        <w:t>Seven personas participate in the Client Recruiting domain. Each persona’s role is scoped to their specific function within CR.</w:t>
      </w:r>
    </w:p>
    <w:tbl>
      <w:tblPr>
        <w:tblW w:w="9360" w:type="dxa"/>
        <w:jc w:val="left"/>
        <w:tblInd w:w="0" w:type="dxa"/>
        <w:tblLayout w:type="fixed"/>
        <w:tblCellMar>
          <w:top w:w="80" w:type="dxa"/>
          <w:left w:w="120" w:type="dxa"/>
          <w:bottom w:w="80" w:type="dxa"/>
          <w:right w:w="120" w:type="dxa"/>
        </w:tblCellMar>
      </w:tblPr>
      <w:tblGrid>
        <w:gridCol w:w="1199"/>
        <w:gridCol w:w="2200"/>
        <w:gridCol w:w="5961"/>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ID</w:t>
            </w:r>
          </w:p>
        </w:tc>
        <w:tc>
          <w:tcPr>
            <w:tcW w:w="22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Persona</w:t>
            </w:r>
          </w:p>
        </w:tc>
        <w:tc>
          <w:tcPr>
            <w:tcW w:w="596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CR Domain Role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MST-PER-003</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Client Administrator</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Processes incoming client applications generated through CR channels (partner referrals, marketing campaigns, events). The handoff point from the Client Recruiting domain to the Mentoring domain.</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MST-PER-006</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Mentor Recruiter</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Coordinates with the Partner Coordinator on partner-channel mentor recruitment initiatives where partner organizations contribute mentors from their professional networks.</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MST-PER-007</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Client Recruiter</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Leads outreach and marketing campaigns targeting prospective client businesses. Manages prospect contact lists, coordinates with the Partner Coordinator on joint marketing initiatives, and tracks campaign effectiveness. Primary operator in CR-MARKETING.</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MST-PER-008</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Partner Coordinator</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Manages the full partner organization lifecycle from prospecting through active relationship management. Coordinates across all sub-domains where partners are involved (co-sponsored events, joint marketing, mentor referrals). Primary operator in CR-PARTNER.</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MST-PER-009</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Content and Event Administrator</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Plans and manages events, registration, attendance tracking, and post-event follow-up. Coordinates with partners and sponsors on co-sponsored events. Primary operator in CR-EVENTS.</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MST-PER-012</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Member</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Supports outreach activities and participates in events on an ad-hoc basis.</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MST-PER-013</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Client</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The target of all CR activities. Registers for events, receives outreach communications, and submits applications for mentoring services.</w:t>
            </w:r>
          </w:p>
        </w:tc>
      </w:tr>
    </w:tbl>
    <w:p>
      <w:pPr>
        <w:pStyle w:val="Normal"/>
        <w:spacing w:before="0" w:after="200"/>
        <w:rPr/>
      </w:pPr>
      <w:r>
        <w:rPr/>
      </w:r>
    </w:p>
    <w:p>
      <w:pPr>
        <w:pStyle w:val="Heading1"/>
        <w:spacing w:before="240" w:after="200"/>
        <w:rPr/>
      </w:pPr>
      <w:r>
        <w:rPr/>
        <w:t>3. Business Processes</w:t>
      </w:r>
    </w:p>
    <w:p>
      <w:pPr>
        <w:pStyle w:val="Normal"/>
        <w:spacing w:before="0" w:after="200"/>
        <w:rPr/>
      </w:pPr>
      <w:r>
        <w:rPr/>
        <w:t>The Client Recruiting domain contains seven business processes organized across five sub-domains. Processes are listed in recommended production order within each sub-domain.</w:t>
      </w:r>
    </w:p>
    <w:p>
      <w:pPr>
        <w:pStyle w:val="Heading2"/>
        <w:spacing w:before="240" w:after="200"/>
        <w:rPr/>
      </w:pPr>
      <w:r>
        <w:rPr/>
        <w:t>3.1 Process Inventory</w:t>
      </w:r>
    </w:p>
    <w:tbl>
      <w:tblPr>
        <w:tblW w:w="9360" w:type="dxa"/>
        <w:jc w:val="left"/>
        <w:tblInd w:w="0" w:type="dxa"/>
        <w:tblLayout w:type="fixed"/>
        <w:tblCellMar>
          <w:top w:w="80" w:type="dxa"/>
          <w:left w:w="120" w:type="dxa"/>
          <w:bottom w:w="80" w:type="dxa"/>
          <w:right w:w="120" w:type="dxa"/>
        </w:tblCellMar>
      </w:tblPr>
      <w:tblGrid>
        <w:gridCol w:w="2600"/>
        <w:gridCol w:w="3399"/>
        <w:gridCol w:w="1800"/>
        <w:gridCol w:w="1560"/>
      </w:tblGrid>
      <w:tr>
        <w:trPr/>
        <w:tc>
          <w:tcPr>
            <w:tcW w:w="26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Code</w:t>
            </w:r>
          </w:p>
        </w:tc>
        <w:tc>
          <w:tcPr>
            <w:tcW w:w="33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Process Name</w:t>
            </w:r>
          </w:p>
        </w:tc>
        <w:tc>
          <w:tcPr>
            <w:tcW w:w="18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Sub-Domain</w:t>
            </w:r>
          </w:p>
        </w:tc>
        <w:tc>
          <w:tcPr>
            <w:tcW w:w="15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Tier</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CR-PARTNER-PROSPECT</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Partner Prospecting and Activation</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CR-PARTNER</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Core</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CR-PARTNER-MANAGE</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Partner Relationship Management</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CR-PARTNER</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Core</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CR-MARKETING-CONTACTS</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Marketing Contact Management</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CR-MARKETING</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CR-MARKETING-CAMPAIGNS</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Campaign Execution and Tracking</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CR-MARKETING</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CR-EVENTS-MANAGE</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Event Lifecycle Management</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CR-EVENTS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CR-EVENTS-CONVERT</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Post-Event Follow-Up and Conversion</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CR-EVENTS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CR-REACTIVATE-OUTREACH</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Reactivation Outreach</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CR-REACTIVATE</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Important</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CR-RESOURCES-MANAGE</w:t>
            </w:r>
          </w:p>
        </w:tc>
        <w:tc>
          <w:tcPr>
            <w:tcW w:w="3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Resource Library Management</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CR-RESOURCES</w:t>
            </w:r>
          </w:p>
        </w:tc>
        <w:tc>
          <w:tcPr>
            <w:tcW w:w="15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Enhancement</w:t>
            </w:r>
          </w:p>
        </w:tc>
      </w:tr>
    </w:tbl>
    <w:p>
      <w:pPr>
        <w:pStyle w:val="Normal"/>
        <w:spacing w:before="0" w:after="200"/>
        <w:rPr/>
      </w:pPr>
      <w:r>
        <w:rPr/>
      </w:r>
    </w:p>
    <w:p>
      <w:pPr>
        <w:pStyle w:val="Heading2"/>
        <w:spacing w:before="240" w:after="200"/>
        <w:rPr/>
      </w:pPr>
      <w:r>
        <w:rPr/>
        <w:t>3.2 CR-PARTNER — Partner Relationship Management</w:t>
      </w:r>
    </w:p>
    <w:p>
      <w:pPr>
        <w:pStyle w:val="Normal"/>
        <w:spacing w:before="0" w:after="200"/>
        <w:rPr/>
      </w:pPr>
      <w:r>
        <w:rPr/>
        <w:t>The Partner Relationship Management sub-domain covers the full lifecycle of referral partnerships — identifying potential partners, qualifying them, establishing formal agreements, and managing ongoing relationships. Partners include community organizations, nonprofits, government agencies, institutional channels (SBA, economic development offices, libraries, workforce development boards), and any organization that extends CBM’s reach and refers clients into the program.</w:t>
      </w:r>
    </w:p>
    <w:p>
      <w:pPr>
        <w:pStyle w:val="Normal"/>
        <w:spacing w:before="0" w:after="200"/>
        <w:rPr/>
      </w:pPr>
      <w:r>
        <w:rPr>
          <w:b/>
          <w:bCs/>
        </w:rPr>
        <w:t xml:space="preserve">Primary personas: </w:t>
      </w:r>
      <w:r>
        <w:rPr/>
        <w:t xml:space="preserve">Partner Coordinator (MST-PER-008). </w:t>
      </w:r>
      <w:r>
        <w:rPr>
          <w:b/>
          <w:bCs/>
        </w:rPr>
        <w:t xml:space="preserve">Supporting personas: </w:t>
      </w:r>
      <w:r>
        <w:rPr/>
        <w:t>Content and Event Administrator (MST-PER-009), Client Recruiter (MST-PER-007), Mentor Recruiter (MST-PER-006).</w:t>
      </w:r>
    </w:p>
    <w:p>
      <w:pPr>
        <w:pStyle w:val="Heading3"/>
        <w:spacing w:before="240" w:after="200"/>
        <w:rPr/>
      </w:pPr>
      <w:r>
        <w:rPr/>
        <w:t>CR-PARTNER-PROSPECT — Partner Prospecting and Activation</w:t>
      </w:r>
    </w:p>
    <w:p>
      <w:pPr>
        <w:pStyle w:val="Normal"/>
        <w:spacing w:before="0" w:after="200"/>
        <w:rPr/>
      </w:pPr>
      <w:r>
        <w:rPr/>
        <w:t>Covers identifying prospective partner organizations, initiating outreach, qualifying the partnership opportunity, establishing formal agreements, and converting the partner from Prospect to Active status. The process begins when the Partner Coordinator identifies a prospective partner and ends when the partnership is formally activated with an assigned liaison and recorded agreement (where applicable). This process creates the partner organization record, initial partner contacts, and the partnership agreement record.</w:t>
      </w:r>
    </w:p>
    <w:p>
      <w:pPr>
        <w:pStyle w:val="Heading3"/>
        <w:spacing w:before="240" w:after="200"/>
        <w:rPr/>
      </w:pPr>
      <w:r>
        <w:rPr/>
        <w:t>CR-PARTNER-MANAGE — Partner Relationship Management</w:t>
      </w:r>
    </w:p>
    <w:p>
      <w:pPr>
        <w:pStyle w:val="Normal"/>
        <w:spacing w:before="0" w:after="200"/>
        <w:rPr/>
      </w:pPr>
      <w:r>
        <w:rPr/>
        <w:t>Covers ongoing management of active partner relationships — liaison activities, communication tracking, referral tracking, co-sponsored event coordination, mentor affiliation tracking, analytics reporting, and partner status changes (Active to Lapsed or Inactive, and reactivation). The process is continuous for the life of the partnership. It begins when a partner reaches Active status (output of CR-PARTNER-PROSPECT) and continues indefinitely. All historical data — referrals, activities, communications, agreements, and analytics — is retained permanently regardless of status changes.</w:t>
      </w:r>
    </w:p>
    <w:p>
      <w:pPr>
        <w:pStyle w:val="Normal"/>
        <w:spacing w:before="0" w:after="200"/>
        <w:rPr/>
      </w:pPr>
      <w:r>
        <w:rPr>
          <w:b/>
          <w:bCs/>
        </w:rPr>
        <w:t xml:space="preserve">Dependency: </w:t>
      </w:r>
      <w:r>
        <w:rPr/>
        <w:t>CR-PARTNER-PROSPECT must be defined first. CR-PARTNER-MANAGE operates on records created by CR-PARTNER-PROSPECT.</w:t>
      </w:r>
    </w:p>
    <w:p>
      <w:pPr>
        <w:pStyle w:val="Heading2"/>
        <w:spacing w:before="240" w:after="200"/>
        <w:rPr/>
      </w:pPr>
      <w:r>
        <w:rPr/>
        <w:t>3.3 CR-MARKETING — Outreach and Marketing</w:t>
      </w:r>
    </w:p>
    <w:p>
      <w:pPr>
        <w:pStyle w:val="Normal"/>
        <w:spacing w:before="0" w:after="200"/>
        <w:rPr/>
      </w:pPr>
      <w:r>
        <w:rPr/>
        <w:t>The Outreach and Marketing sub-domain covers all activities that generate awareness and inbound interest through communications channels. This includes digital presence, content marketing, social media, email marketing, media and public relations, paid advertising, and direct grassroots outreach. The CRM serves as the single source of truth for prospect contact data, synchronizing lists to the external marketing platform for campaign delivery.</w:t>
      </w:r>
    </w:p>
    <w:p>
      <w:pPr>
        <w:pStyle w:val="Normal"/>
        <w:spacing w:before="0" w:after="200"/>
        <w:rPr/>
      </w:pPr>
      <w:r>
        <w:rPr>
          <w:b/>
          <w:bCs/>
        </w:rPr>
        <w:t xml:space="preserve">Primary persona: </w:t>
      </w:r>
      <w:r>
        <w:rPr/>
        <w:t xml:space="preserve">Client Recruiter (MST-PER-007). </w:t>
      </w:r>
      <w:r>
        <w:rPr>
          <w:b/>
          <w:bCs/>
        </w:rPr>
        <w:t xml:space="preserve">Supporting persona: </w:t>
      </w:r>
      <w:r>
        <w:rPr/>
        <w:t>Partner Coordinator (MST-PER-008).</w:t>
      </w:r>
    </w:p>
    <w:p>
      <w:pPr>
        <w:pStyle w:val="Heading3"/>
        <w:spacing w:before="240" w:after="200"/>
        <w:rPr/>
      </w:pPr>
      <w:r>
        <w:rPr/>
        <w:t>CR-MARKETING-CONTACTS — Marketing Contact Management</w:t>
      </w:r>
    </w:p>
    <w:p>
      <w:pPr>
        <w:pStyle w:val="Normal"/>
        <w:spacing w:before="0" w:after="200"/>
        <w:rPr/>
      </w:pPr>
      <w:r>
        <w:rPr/>
        <w:t>Covers creating and maintaining prospect and marketing contact records in the CRM, segmenting contact lists for targeted outreach, synchronizing lists to the external marketing platform, and tracking how contacts move through the prospect-to-applicant pipeline. Prospect contacts are maintained in the CRM as the single source of truth. The process is continuous — contacts are created, updated, and reclassified as they progress through the funnel or become inactive.</w:t>
      </w:r>
    </w:p>
    <w:p>
      <w:pPr>
        <w:pStyle w:val="Heading3"/>
        <w:spacing w:before="240" w:after="200"/>
        <w:rPr/>
      </w:pPr>
      <w:r>
        <w:rPr/>
        <w:t>CR-MARKETING-CAMPAIGNS — Campaign Execution and Tracking</w:t>
      </w:r>
    </w:p>
    <w:p>
      <w:pPr>
        <w:pStyle w:val="Normal"/>
        <w:spacing w:before="0" w:after="200"/>
        <w:rPr/>
      </w:pPr>
      <w:r>
        <w:rPr/>
        <w:t>Covers planning, executing, and measuring outreach campaigns. Campaign engagement history (emails sent, opened, clicked) is recorded back into the CRM against each contact record. Application source attribution records how each applicant heard about CBM. Channel effectiveness analysis compares campaign performance across outreach methods. Geographic targeting directs campaigns toward underserved service areas or populations.</w:t>
      </w:r>
    </w:p>
    <w:p>
      <w:pPr>
        <w:pStyle w:val="Normal"/>
        <w:spacing w:before="0" w:after="200"/>
        <w:rPr/>
      </w:pPr>
      <w:r>
        <w:rPr>
          <w:b/>
          <w:bCs/>
        </w:rPr>
        <w:t xml:space="preserve">Dependency: </w:t>
      </w:r>
      <w:r>
        <w:rPr/>
        <w:t>CR-MARKETING-CONTACTS must be defined first. Campaigns operate on the contact lists established by the contact management process.</w:t>
      </w:r>
    </w:p>
    <w:p>
      <w:pPr>
        <w:pStyle w:val="Heading2"/>
        <w:spacing w:before="240" w:after="200"/>
        <w:rPr/>
      </w:pPr>
      <w:r>
        <w:rPr/>
        <w:t>3.4 CR-EVENTS — Workshops and Event Management</w:t>
      </w:r>
    </w:p>
    <w:p>
      <w:pPr>
        <w:pStyle w:val="Normal"/>
        <w:spacing w:before="0" w:after="200"/>
        <w:rPr/>
      </w:pPr>
      <w:r>
        <w:rPr/>
        <w:t>The Workshops and Event Management sub-domain covers the planning, delivery, and follow-up of all client-facing events in both in-person and virtual formats. In-person events include workshops, seminars, open houses, speaking engagements, pop-up presence at community events, business expos, and community college and trade school visits. Virtual events include webinars and online workshops. Events serve as a direct client recruiting mechanism and as an ongoing engagement tool for the broader CBM network.</w:t>
      </w:r>
    </w:p>
    <w:p>
      <w:pPr>
        <w:pStyle w:val="Normal"/>
        <w:spacing w:before="0" w:after="200"/>
        <w:rPr/>
      </w:pPr>
      <w:r>
        <w:rPr>
          <w:b/>
          <w:bCs/>
        </w:rPr>
        <w:t xml:space="preserve">Primary persona: </w:t>
      </w:r>
      <w:r>
        <w:rPr/>
        <w:t xml:space="preserve">Content and Event Administrator (MST-PER-009). </w:t>
      </w:r>
      <w:r>
        <w:rPr>
          <w:b/>
          <w:bCs/>
        </w:rPr>
        <w:t xml:space="preserve">Supporting personas: </w:t>
      </w:r>
      <w:r>
        <w:rPr/>
        <w:t>Partner Coordinator (MST-PER-008), Client Administrator (MST-PER-003), Client (MST-PER-013).</w:t>
      </w:r>
    </w:p>
    <w:p>
      <w:pPr>
        <w:pStyle w:val="Heading3"/>
        <w:spacing w:before="240" w:after="200"/>
        <w:rPr/>
      </w:pPr>
      <w:r>
        <w:rPr/>
        <w:t>CR-EVENTS-MANAGE — Event Lifecycle Management</w:t>
      </w:r>
    </w:p>
    <w:p>
      <w:pPr>
        <w:pStyle w:val="Normal"/>
        <w:spacing w:before="0" w:after="200"/>
        <w:rPr/>
      </w:pPr>
      <w:r>
        <w:rPr/>
        <w:t>Covers creating event records, publishing registration, managing registrations and waitlists, sending confirmation and reminder communications, coordinating with partners on co-sponsored events, tracking presenters, delivering the event, and recording final attendance. New contact records are created for registrants not already in the CRM. The process begins when a new event is planned and ends when final attendance is recorded.</w:t>
      </w:r>
    </w:p>
    <w:p>
      <w:pPr>
        <w:pStyle w:val="Heading3"/>
        <w:spacing w:before="240" w:after="200"/>
        <w:rPr/>
      </w:pPr>
      <w:r>
        <w:rPr/>
        <w:t>CR-EVENTS-CONVERT — Post-Event Follow-Up and Conversion</w:t>
      </w:r>
    </w:p>
    <w:p>
      <w:pPr>
        <w:pStyle w:val="Normal"/>
        <w:spacing w:before="0" w:after="200"/>
        <w:rPr/>
      </w:pPr>
      <w:r>
        <w:rPr/>
        <w:t>Covers triggering follow-up communications to attendees after events, tracking which attendees convert to applicants, feeding unconverted attendees into CR-REACTIVATE for future outreach, and producing event effectiveness analytics (registrations, attendance, no-show rates, conversion rates, and trends by event type and geography).</w:t>
      </w:r>
    </w:p>
    <w:p>
      <w:pPr>
        <w:pStyle w:val="Normal"/>
        <w:spacing w:before="0" w:after="200"/>
        <w:rPr/>
      </w:pPr>
      <w:r>
        <w:rPr>
          <w:b/>
          <w:bCs/>
        </w:rPr>
        <w:t xml:space="preserve">Dependency: </w:t>
      </w:r>
      <w:r>
        <w:rPr/>
        <w:t>CR-EVENTS-MANAGE must be defined first. The conversion process operates on attendance data produced by event management.</w:t>
      </w:r>
    </w:p>
    <w:p>
      <w:pPr>
        <w:pStyle w:val="Heading2"/>
        <w:spacing w:before="240" w:after="200"/>
        <w:rPr/>
      </w:pPr>
      <w:r>
        <w:rPr/>
        <w:t>3.5 CR-REACTIVATE — Client Reactivation and Recovery</w:t>
      </w:r>
    </w:p>
    <w:p>
      <w:pPr>
        <w:pStyle w:val="Normal"/>
        <w:spacing w:before="0" w:after="200"/>
        <w:rPr/>
      </w:pPr>
      <w:r>
        <w:rPr/>
        <w:t>The Client Reactivation and Recovery sub-domain covers re-engaging people who have previously interacted with CBM but are not currently active. This maximizes return on prior recruiting investment by converting warm leads who already know CBM.</w:t>
      </w:r>
    </w:p>
    <w:p>
      <w:pPr>
        <w:pStyle w:val="Normal"/>
        <w:spacing w:before="0" w:after="200"/>
        <w:rPr/>
      </w:pPr>
      <w:r>
        <w:rPr>
          <w:b/>
          <w:bCs/>
        </w:rPr>
        <w:t xml:space="preserve">Primary persona: </w:t>
      </w:r>
      <w:r>
        <w:rPr/>
        <w:t xml:space="preserve">Client Recruiter (MST-PER-007). </w:t>
      </w:r>
      <w:r>
        <w:rPr>
          <w:b/>
          <w:bCs/>
        </w:rPr>
        <w:t xml:space="preserve">Supporting persona: </w:t>
      </w:r>
      <w:r>
        <w:rPr/>
        <w:t>Client Administrator (MST-PER-003).</w:t>
      </w:r>
    </w:p>
    <w:p>
      <w:pPr>
        <w:pStyle w:val="Heading3"/>
        <w:spacing w:before="240" w:after="200"/>
        <w:rPr/>
      </w:pPr>
      <w:r>
        <w:rPr/>
        <w:t>CR-REACTIVATE-OUTREACH — Reactivation Outreach</w:t>
      </w:r>
    </w:p>
    <w:p>
      <w:pPr>
        <w:pStyle w:val="Normal"/>
        <w:spacing w:before="0" w:after="200"/>
        <w:rPr/>
      </w:pPr>
      <w:r>
        <w:rPr/>
        <w:t>Covers identifying, prioritizing, and re-engaging warm leads across all source categories: former clients who may benefit from another round of mentoring, incomplete applications that were never submitted or were withdrawn, workshop and webinar attendees who did not convert to applicants, seasonal and cyclical outreach to past inquiries, and structured referral requests to successful former clients. The process defines reactivation criteria per source category, executes outreach, tracks responses, and routes re-engaged contacts back into the appropriate intake path (MN-INTAKE for clients ready to apply, CR-EVENTS for event invitations, etc.).</w:t>
      </w:r>
    </w:p>
    <w:p>
      <w:pPr>
        <w:pStyle w:val="Normal"/>
        <w:spacing w:before="0" w:after="200"/>
        <w:rPr/>
      </w:pPr>
      <w:r>
        <w:rPr>
          <w:b/>
          <w:bCs/>
        </w:rPr>
        <w:t xml:space="preserve">Cross-sub-domain dependency: </w:t>
      </w:r>
      <w:r>
        <w:rPr/>
        <w:t>CR-REACTIVATE receives unconverted attendees from CR-EVENTS-CONVERT, inactive prospects from CR-MARKETING-CONTACTS, and former client records from the Mentoring domain. It should be defined last.</w:t>
      </w:r>
    </w:p>
    <w:p>
      <w:pPr>
        <w:pStyle w:val="Heading2"/>
      </w:pPr>
      <w:r>
        <w:rPr>
          <w:rFonts w:ascii="Arial" w:cs="Arial" w:eastAsia="Arial" w:hAnsi="Arial"/>
        </w:rPr>
        <w:t xml:space="preserve">3.6 CR-RESOURCES — Resource Library</w:t>
      </w:r>
    </w:p>
    <w:p>
      <w:r>
        <w:rPr>
          <w:rFonts w:ascii="Arial" w:cs="Arial" w:eastAsia="Arial" w:hAnsi="Arial"/>
          <w:sz w:val="22"/>
          <w:szCs w:val="22"/>
        </w:rPr>
        <w:t xml:space="preserve">CR-RESOURCES manages the public Resources page — a library of recordings of past events and standalone assets offered to the business community. It turns finished content into published, publicly accessible resources and keeps that library current and organized. It is the fifth Client Recruiting sub-domain.</w:t>
      </w:r>
    </w:p>
    <w:p>
      <w:r>
        <w:rPr>
          <w:rFonts w:ascii="Arial" w:cs="Arial" w:eastAsia="Arial" w:hAnsi="Arial"/>
          <w:b/>
          <w:bCs/>
          <w:sz w:val="22"/>
          <w:szCs w:val="22"/>
        </w:rPr>
        <w:t xml:space="preserve">CR-RESOURCES-MANAGE — Resource Library Management</w:t>
      </w:r>
    </w:p>
    <w:p>
      <w:r>
        <w:rPr>
          <w:rFonts w:ascii="Arial" w:cs="Arial" w:eastAsia="Arial" w:hAnsi="Arial"/>
          <w:sz w:val="22"/>
          <w:szCs w:val="22"/>
        </w:rPr>
        <w:t xml:space="preserve">Migrates recordings from completed events into published resources, publishes standalone assets, and maintains the public page. The Resource entity is owned here; visibility is gated solely by a publish flag, and the page requires no sign-in.</w:t>
      </w:r>
    </w:p>
    <w:p>
      <w:r>
        <w:rPr>
          <w:rFonts w:ascii="Arial" w:cs="Arial" w:eastAsia="Arial" w:hAnsi="Arial"/>
          <w:sz w:val="22"/>
          <w:szCs w:val="22"/>
        </w:rPr>
        <w:t xml:space="preserve">Dependency: CR-RESOURCES depends on CR-EVENTS. Recordings originate from completed events, each recording resource links back to its source event, and the recording-migration step continues off the end of CR-EVENTS-MANAGE. The dependency is read-only on the Events side — this sub-domain follows the event’s raw recording link to retrieve content but never modifies event data.</w:t>
      </w:r>
    </w:p>
    <w:p>
      <w:pPr>
        <w:pStyle w:val="Heading2"/>
        <w:spacing w:before="240" w:after="200"/>
        <w:rPr/>
      </w:pPr>
      <w:r>
        <w:rPr/>
        <w:t>3.7 Process Production Order</w:t>
      </w:r>
    </w:p>
    <w:p>
      <w:pPr>
        <w:pStyle w:val="Normal"/>
        <w:spacing w:before="0" w:after="200"/>
        <w:rPr/>
      </w:pPr>
      <w:r>
        <w:rPr/>
        <w:t>Processes are produced in the following order. Within each sub-domain, the order follows lifecycle dependencies. Across sub-domains, the order reflects the flow of data and cross-sub-domain handoffs.</w:t>
      </w:r>
    </w:p>
    <w:tbl>
      <w:tblPr>
        <w:tblW w:w="9360" w:type="dxa"/>
        <w:jc w:val="left"/>
        <w:tblInd w:w="0" w:type="dxa"/>
        <w:tblLayout w:type="fixed"/>
        <w:tblCellMar>
          <w:top w:w="80" w:type="dxa"/>
          <w:left w:w="120" w:type="dxa"/>
          <w:bottom w:w="80" w:type="dxa"/>
          <w:right w:w="120" w:type="dxa"/>
        </w:tblCellMar>
      </w:tblPr>
      <w:tblGrid>
        <w:gridCol w:w="599"/>
        <w:gridCol w:w="2800"/>
        <w:gridCol w:w="5961"/>
      </w:tblGrid>
      <w:tr>
        <w:trPr/>
        <w:tc>
          <w:tcPr>
            <w:tcW w:w="5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w:t>
            </w:r>
          </w:p>
        </w:tc>
        <w:tc>
          <w:tcPr>
            <w:tcW w:w="28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Process Code</w:t>
            </w:r>
          </w:p>
        </w:tc>
        <w:tc>
          <w:tcPr>
            <w:tcW w:w="596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Rationale</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1</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CR-PARTNER-PROSPECT</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Core tier. Creates partner records that all other sub-domains reference.</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2</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CR-PARTNER-MANAGE</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Operates on records created by CR-PARTNER-PROSPECT.</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3</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CR-MARKETING-CONTACTS</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Establishes prospect contact management patterns used by campaigns and other sub-domains.</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4</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CR-MARKETING-CAMPAIGNS</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Operates on contact lists established by CR-MARKETING-CONTACTS.</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5</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CR-EVENTS-MANAGE</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Creates event and registration records. References partner records from CR-PARTNER.</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6</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CR-EVENTS-CONVERT</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Operates on attendance data produced by CR-EVENTS-MANAGE.</w:t>
            </w:r>
          </w:p>
        </w:tc>
      </w:tr>
      <w:tr>
        <w:trPr/>
        <w:tc>
          <w:tcPr>
            <w:tcW w:w="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7</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CR-REACTIVATE-OUTREACH</w:t>
            </w:r>
          </w:p>
        </w:tc>
        <w:tc>
          <w:tcPr>
            <w:tcW w:w="59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Receives from all three other sub-domains. Defined last.</w:t>
            </w:r>
          </w:p>
        </w:tc>
      </w:tr>
    </w:tbl>
    <w:p>
      <w:pPr>
        <w:pStyle w:val="Normal"/>
        <w:spacing w:before="0" w:after="200"/>
        <w:rPr/>
      </w:pPr>
      <w:r>
        <w:rPr/>
      </w:r>
    </w:p>
    <w:p>
      <w:pPr>
        <w:pStyle w:val="Heading2"/>
        <w:spacing w:before="240" w:after="200"/>
        <w:rPr/>
      </w:pPr>
      <w:r>
        <w:rPr/>
        <w:t>3.8 Cross-Sub-Domain Relationships and Handoffs</w:t>
      </w:r>
    </w:p>
    <w:p>
      <w:pPr>
        <w:pStyle w:val="Normal"/>
        <w:spacing w:before="0" w:after="200"/>
        <w:rPr/>
      </w:pPr>
      <w:r>
        <w:rPr/>
        <w:t>The four CR sub-domains are designed to be autonomous but share data through defined handoff points.</w:t>
      </w:r>
    </w:p>
    <w:p>
      <w:pPr>
        <w:pStyle w:val="Normal"/>
        <w:spacing w:before="0" w:after="200"/>
        <w:rPr/>
      </w:pPr>
      <w:r>
        <w:rPr>
          <w:b/>
          <w:bCs/>
        </w:rPr>
        <w:t xml:space="preserve">CR-PARTNER → CR-EVENTS: </w:t>
      </w:r>
      <w:r>
        <w:rPr/>
        <w:t>Partners co-sponsor events. CR-PARTNER-MANAGE tracks the partner relationship; CR-EVENTS-MANAGE links partner organizations to co-sponsored event records. The handoff is a reference — the event record links to an existing partner record with no status change on either side.</w:t>
      </w:r>
    </w:p>
    <w:p>
      <w:pPr>
        <w:pStyle w:val="Normal"/>
        <w:spacing w:before="0" w:after="200"/>
        <w:rPr/>
      </w:pPr>
      <w:r>
        <w:rPr>
          <w:b/>
          <w:bCs/>
        </w:rPr>
        <w:t xml:space="preserve">CR-PARTNER → CR-MARKETING: </w:t>
      </w:r>
      <w:r>
        <w:rPr/>
        <w:t>Partners support joint marketing initiatives. The Partner Coordinator and Client Recruiter coordinate on campaigns that leverage partner channels and target partner service areas. This is a coordination activity rather than a formal data linkage.</w:t>
      </w:r>
    </w:p>
    <w:p>
      <w:pPr>
        <w:pStyle w:val="Normal"/>
        <w:spacing w:before="0" w:after="200"/>
        <w:rPr/>
      </w:pPr>
      <w:r>
        <w:rPr>
          <w:b/>
          <w:bCs/>
        </w:rPr>
        <w:t xml:space="preserve">CR-PARTNER → MR domain: </w:t>
      </w:r>
      <w:r>
        <w:rPr/>
        <w:t>Partners contribute mentors from their professional networks. The Mentor Recruiter coordinates with the Partner Coordinator. Mentor Contact records are linked to partner organizations via the Account relationship. This is a cross-domain reference.</w:t>
      </w:r>
    </w:p>
    <w:p>
      <w:pPr>
        <w:pStyle w:val="Normal"/>
        <w:spacing w:before="0" w:after="200"/>
        <w:rPr/>
      </w:pPr>
      <w:r>
        <w:rPr>
          <w:b/>
          <w:bCs/>
        </w:rPr>
        <w:t xml:space="preserve">CR-EVENTS-CONVERT → CR-REACTIVATE: </w:t>
      </w:r>
      <w:r>
        <w:rPr/>
        <w:t>Unconverted event attendees — people who attended but did not apply — become warm leads for CR-REACTIVATE-OUTREACH.</w:t>
      </w:r>
    </w:p>
    <w:p>
      <w:pPr>
        <w:pStyle w:val="Normal"/>
        <w:spacing w:before="0" w:after="200"/>
        <w:rPr/>
      </w:pPr>
      <w:r>
        <w:rPr>
          <w:b/>
          <w:bCs/>
        </w:rPr>
        <w:t xml:space="preserve">CR-MARKETING-CONTACTS → CR-REACTIVATE: </w:t>
      </w:r>
      <w:r>
        <w:rPr/>
        <w:t>Prospects who received outreach but did not convert may be recycled into reactivation segments over time.</w:t>
      </w:r>
    </w:p>
    <w:p>
      <w:pPr>
        <w:pStyle w:val="Heading2"/>
        <w:spacing w:before="240" w:after="200"/>
        <w:rPr/>
      </w:pPr>
      <w:r>
        <w:rPr/>
        <w:t>3.9 Handoff to Mentoring Domain</w:t>
      </w:r>
    </w:p>
    <w:p>
      <w:pPr>
        <w:pStyle w:val="Normal"/>
        <w:spacing w:before="0" w:after="200"/>
        <w:rPr/>
      </w:pPr>
      <w:r>
        <w:rPr/>
        <w:t>The primary cross-domain handoff is from the CR domain to the Mentoring domain’s Client Intake process (MN-INTAKE). The boundary is the client application submission. All CR activities aim to drive prospective clients to submit an application. Once submitted — regardless of which CR channel produced it (partner referral, marketing campaign, event attendance, reactivation outreach) — the record enters MN-INTAKE and the Mentoring domain owns the lifecycle from that point forward.</w:t>
      </w:r>
    </w:p>
    <w:p>
      <w:pPr>
        <w:pStyle w:val="Normal"/>
        <w:spacing w:before="0" w:after="200"/>
        <w:rPr/>
      </w:pPr>
      <w:r>
        <w:rPr/>
        <w:t>The CR domain’s contribution after application submission is limited to application source attribution. The system records how the applicant heard about CBM so CR can measure channel effectiveness. The CR domain does not participate in the intake workflow.</w:t>
      </w:r>
    </w:p>
    <w:p>
      <w:pPr>
        <w:pStyle w:val="Heading2"/>
        <w:spacing w:before="240" w:after="200"/>
        <w:rPr/>
      </w:pPr>
      <w:r>
        <w:rPr/>
        <w:t>3.10 Shared Audience Strategy and Consolidated Oversight</w:t>
      </w:r>
    </w:p>
    <w:p>
      <w:pPr>
        <w:pStyle w:val="Normal"/>
        <w:spacing w:before="0" w:after="200"/>
        <w:rPr/>
      </w:pPr>
      <w:r>
        <w:rPr/>
        <w:t>The five sub-domains are different channels all targeting the same general audience — small businesses and entrepreneurs in Northeast Ohio who could benefit from mentoring. Consolidated oversight at the parent domain level serves three purposes.</w:t>
      </w:r>
    </w:p>
    <w:p>
      <w:pPr>
        <w:pStyle w:val="Normal"/>
        <w:spacing w:before="0" w:after="200"/>
        <w:rPr/>
      </w:pPr>
      <w:r>
        <w:rPr>
          <w:b/>
          <w:bCs/>
        </w:rPr>
        <w:t xml:space="preserve">Channel effectiveness comparison. </w:t>
      </w:r>
      <w:r>
        <w:rPr/>
        <w:t>Application source attribution enables CBM to compare partner referrals, marketing campaigns, events, and reactivation outreach in terms of volume and conversion rates. This supports data-driven decisions about where to focus recruiting effort.</w:t>
      </w:r>
    </w:p>
    <w:p>
      <w:pPr>
        <w:pStyle w:val="Normal"/>
        <w:spacing w:before="0" w:after="200"/>
        <w:rPr/>
      </w:pPr>
      <w:r>
        <w:rPr>
          <w:b/>
          <w:bCs/>
        </w:rPr>
        <w:t xml:space="preserve">Outreach coordination. </w:t>
      </w:r>
      <w:r>
        <w:rPr/>
        <w:t>A prospect being nurtured through marketing should not also receive cold reactivation outreach. A partner-referred contact already in the intake pipeline should not receive event follow-up emails pushing them to apply. The CRM provides visibility across sub-domains to prevent duplicate or conflicting outreach.</w:t>
      </w:r>
    </w:p>
    <w:p>
      <w:pPr>
        <w:pStyle w:val="Normal"/>
        <w:spacing w:before="0" w:after="200"/>
        <w:rPr/>
      </w:pPr>
      <w:r>
        <w:rPr>
          <w:b/>
          <w:bCs/>
        </w:rPr>
        <w:t xml:space="preserve">Gap targeting. </w:t>
      </w:r>
      <w:r>
        <w:rPr/>
        <w:t>If the active client population is underrepresented in a particular geography, industry, or business stage, all five sub-domains can orient toward that gap — partners in that area, marketing campaigns targeting that segment, events in that location, reactivation outreach to former clients in that category.</w:t>
      </w:r>
    </w:p>
    <w:p>
      <w:pPr>
        <w:pStyle w:val="Heading1"/>
        <w:spacing w:before="240" w:after="200"/>
        <w:rPr/>
      </w:pPr>
      <w:r>
        <w:rPr/>
        <w:t>4. Data Reference</w:t>
      </w:r>
    </w:p>
    <w:p>
      <w:pPr>
        <w:pStyle w:val="Normal"/>
        <w:spacing w:before="0" w:after="200"/>
        <w:rPr/>
      </w:pPr>
      <w:r>
        <w:rPr/>
        <w:t>This section identifies the entities and fields relevant to the Client Recruiting domain, assembled by reference to completed Entity PRDs and the Entity Inventory. The Domain Overview identifies which entities the domain uses without redefining them — field-level detail is owned by Entity PRDs and will be established or updated as CR process documents are completed.</w:t>
      </w:r>
    </w:p>
    <w:p>
      <w:pPr>
        <w:pStyle w:val="Heading2"/>
        <w:spacing w:before="240" w:after="200"/>
        <w:rPr/>
      </w:pPr>
      <w:r>
        <w:rPr/>
        <w:t>4.1 Entity Summary</w:t>
      </w:r>
    </w:p>
    <w:tbl>
      <w:tblPr>
        <w:tblW w:w="9360" w:type="dxa"/>
        <w:jc w:val="left"/>
        <w:tblInd w:w="0" w:type="dxa"/>
        <w:tblLayout w:type="fixed"/>
        <w:tblCellMar>
          <w:top w:w="80" w:type="dxa"/>
          <w:left w:w="120" w:type="dxa"/>
          <w:bottom w:w="80" w:type="dxa"/>
          <w:right w:w="120" w:type="dxa"/>
        </w:tblCellMar>
      </w:tblPr>
      <w:tblGrid>
        <w:gridCol w:w="2000"/>
        <w:gridCol w:w="1200"/>
        <w:gridCol w:w="1200"/>
        <w:gridCol w:w="4959"/>
      </w:tblGrid>
      <w:tr>
        <w:trPr/>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CRM Entity</w:t>
            </w:r>
          </w:p>
        </w:tc>
        <w:tc>
          <w:tcPr>
            <w:tcW w:w="12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Type</w:t>
            </w:r>
          </w:p>
        </w:tc>
        <w:tc>
          <w:tcPr>
            <w:tcW w:w="12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Entity PRD</w:t>
            </w:r>
          </w:p>
        </w:tc>
        <w:tc>
          <w:tcPr>
            <w:tcW w:w="49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CR Domain Role</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Contact</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Native Person</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v1.1</w:t>
            </w:r>
          </w:p>
        </w:tc>
        <w:tc>
          <w:tcPr>
            <w:tcW w:w="49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Client, Partner, Presenter, and Member contact types. Prospect contacts for marketing. Event registrants.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Account</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Native Company</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v1.0</w:t>
            </w:r>
          </w:p>
        </w:tc>
        <w:tc>
          <w:tcPr>
            <w:tcW w:w="49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Client and Partner account types. Partner organization profiles, status lifecycle, liaison assignment, and agreement tracking.</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Partnership Agreement</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Custom Base</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Deferred</w:t>
            </w:r>
          </w:p>
        </w:tc>
        <w:tc>
          <w:tcPr>
            <w:tcW w:w="49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Formal agreements with partner organizations. Entity PRD depends on CR-PARTNER process documents.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Event</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Custom Event</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Deferred</w:t>
            </w:r>
          </w:p>
        </w:tc>
        <w:tc>
          <w:tcPr>
            <w:tcW w:w="49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Workshops, seminars, webinars, and events. Entity PRD depends on CR-EVENTS process documents.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Resource</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Custom Base</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Deferred</w:t>
            </w:r>
          </w:p>
        </w:tc>
        <w:tc>
          <w:tcPr>
            <w:tcW w:w="49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Public Resources page content: recordings of past events and standalone assets, gated solely by a publish flag. Owned by CR-RESOURCES.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Event Registration</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Custom Base</w:t>
            </w:r>
          </w:p>
        </w:tc>
        <w:tc>
          <w:tcPr>
            <w:tcW w:w="12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Deferred</w:t>
            </w:r>
          </w:p>
        </w:tc>
        <w:tc>
          <w:tcPr>
            <w:tcW w:w="49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Individual registrations for events with attendance tracking. Entity PRD depends on CR-EVENTS process documents.</w:t>
            </w:r>
          </w:p>
        </w:tc>
      </w:tr>
    </w:tbl>
    <w:p>
      <w:pPr>
        <w:pStyle w:val="Normal"/>
        <w:spacing w:before="0" w:after="200"/>
        <w:rPr/>
      </w:pPr>
      <w:r>
        <w:rPr/>
      </w:r>
    </w:p>
    <w:p>
      <w:pPr>
        <w:pStyle w:val="Heading2"/>
        <w:spacing w:before="240" w:after="200"/>
        <w:rPr/>
      </w:pPr>
      <w:r>
        <w:rPr/>
        <w:t>4.2 Contact Entity</w:t>
      </w:r>
    </w:p>
    <w:p>
      <w:pPr>
        <w:pStyle w:val="Normal"/>
        <w:spacing w:before="0" w:after="200"/>
        <w:rPr/>
      </w:pPr>
      <w:r>
        <w:rPr/>
        <w:t>The Contact entity is a shared native Person type spanning all four domains. The Contact Entity PRD v1.6 documents all native and custom Contact fields across the four domains. CR domain coverage is currently incomplete (CON-ISS-004). The following contactType values participate in the CR domain: Client, Partner, Presenter, and Member.</w:t>
      </w:r>
    </w:p>
    <w:p>
      <w:pPr>
        <w:pStyle w:val="Normal"/>
        <w:spacing w:before="0" w:after="200"/>
        <w:rPr/>
      </w:pPr>
      <w:r>
        <w:rPr>
          <w:b/>
          <w:bCs/>
        </w:rPr>
        <w:t xml:space="preserve">Anticipated CR additions </w:t>
      </w:r>
      <w:r>
        <w:rPr/>
        <w:t>(to be defined by CR process documents):</w:t>
      </w:r>
    </w:p>
    <w:p>
      <w:pPr>
        <w:pStyle w:val="Normal"/>
        <w:spacing w:before="0" w:after="200"/>
        <w:rPr/>
      </w:pPr>
      <w:r>
        <w:rPr>
          <w:b/>
          <w:bCs/>
        </w:rPr>
        <w:t xml:space="preserve">Client lifecycle field (CON-ISS-001): </w:t>
      </w:r>
      <w:r>
        <w:rPr/>
        <w:t>Analogous to mentorStatus. Lifecycle stages and field definition to be established during CR process definition or MN-INTAKE Entity PRD work.</w:t>
      </w:r>
    </w:p>
    <w:p>
      <w:pPr>
        <w:pStyle w:val="Normal"/>
        <w:spacing w:before="0" w:after="200"/>
        <w:rPr/>
      </w:pPr>
      <w:r>
        <w:rPr>
          <w:b/>
          <w:bCs/>
        </w:rPr>
        <w:t xml:space="preserve">Partner lifecycle field (CON-ISS-002): </w:t>
      </w:r>
      <w:r>
        <w:rPr/>
        <w:t>Contact-level partner status, if needed beyond the Account-level partnerStatus. To be established during CR-PARTNER process definition.</w:t>
      </w:r>
    </w:p>
    <w:p>
      <w:pPr>
        <w:pStyle w:val="Normal"/>
        <w:spacing w:before="0" w:after="200"/>
        <w:rPr/>
      </w:pPr>
      <w:r>
        <w:rPr>
          <w:b/>
          <w:bCs/>
        </w:rPr>
        <w:t xml:space="preserve">Partner-specific custom fields: </w:t>
      </w:r>
      <w:r>
        <w:rPr/>
        <w:t>Role at partner organization, primary contact designation by function, and other partner contact fields as surfaced by CR-PARTNER processes.</w:t>
      </w:r>
    </w:p>
    <w:p>
      <w:pPr>
        <w:pStyle w:val="Normal"/>
        <w:spacing w:before="0" w:after="200"/>
        <w:rPr/>
      </w:pPr>
      <w:r>
        <w:rPr>
          <w:b/>
          <w:bCs/>
        </w:rPr>
        <w:t xml:space="preserve">Presenter-specific fields: </w:t>
      </w:r>
      <w:r>
        <w:rPr/>
        <w:t>Bio, topic expertise, or other fields as surfaced by CR-EVENTS processes, if any beyond what the event record captures.</w:t>
      </w:r>
    </w:p>
    <w:p>
      <w:pPr>
        <w:pStyle w:val="Normal"/>
        <w:spacing w:before="0" w:after="200"/>
        <w:rPr/>
      </w:pPr>
      <w:r>
        <w:rPr>
          <w:b/>
          <w:bCs/>
        </w:rPr>
        <w:t xml:space="preserve">Member-specific fields: </w:t>
      </w:r>
      <w:r>
        <w:rPr/>
        <w:t>To be defined during CR process definition, if any are needed beyond basic contact information.</w:t>
      </w:r>
    </w:p>
    <w:p>
      <w:pPr>
        <w:pStyle w:val="Normal"/>
        <w:spacing w:before="0" w:after="200"/>
        <w:rPr/>
      </w:pPr>
      <w:r>
        <w:rPr>
          <w:b/>
          <w:bCs/>
        </w:rPr>
        <w:t xml:space="preserve">How Did You Hear About CBM values (CON-ISS-008): </w:t>
      </w:r>
      <w:r>
        <w:rPr/>
        <w:t>CR processes will contribute values to this shared enum field for application source attribution.</w:t>
      </w:r>
    </w:p>
    <w:p>
      <w:pPr>
        <w:pStyle w:val="Normal"/>
        <w:spacing w:before="0" w:after="200"/>
        <w:rPr/>
      </w:pPr>
      <w:r>
        <w:rPr>
          <w:b/>
          <w:bCs/>
        </w:rPr>
        <w:t xml:space="preserve">Anticipated future relationships: </w:t>
      </w:r>
      <w:r>
        <w:rPr/>
        <w:t>Contact → Event Registration (CR domain), Contact → Event as Presenter (CR domain), Contact → Survey Response (pending Survey Service definition). These are noted in the Contact Entity PRD and will be formally defined when CR process documents establish field-level requirements.</w:t>
      </w:r>
    </w:p>
    <w:p>
      <w:pPr>
        <w:pStyle w:val="Heading2"/>
        <w:spacing w:before="240" w:after="200"/>
        <w:rPr/>
      </w:pPr>
      <w:r>
        <w:rPr/>
        <w:t>4.3 Account Entity</w:t>
      </w:r>
    </w:p>
    <w:p>
      <w:pPr>
        <w:pStyle w:val="Normal"/>
        <w:spacing w:before="0" w:after="200"/>
        <w:rPr/>
      </w:pPr>
      <w:r>
        <w:rPr/>
        <w:t>The Account entity is a shared native Company type spanning MN, CR, and FU domains. The Account Entity PRD v1.6 documents all native and custom Account fields across the participating domains. CR domain coverage is currently incomplete (ACT-ISS-002). The following accountType values participate in the CR domain: Client and Partner.</w:t>
      </w:r>
    </w:p>
    <w:p>
      <w:pPr>
        <w:pStyle w:val="Normal"/>
        <w:spacing w:before="0" w:after="200"/>
        <w:rPr/>
      </w:pPr>
      <w:r>
        <w:rPr/>
        <w:t>Partner-specific fields are already defined at summary level in the Account Entity PRD Section 3.3, sourced from the legacy CR Domain PRD. These include partnerOrganizationType, partnerType, partnerStatus, partnershipStartDate, assignedLiaison, publicAnnouncementAllowed, geographicServiceArea, targetPopulation, linkedInProfile, and partnerNotes. CR process documents will validate, refine, or expand these field definitions.</w:t>
      </w:r>
    </w:p>
    <w:p>
      <w:pPr>
        <w:pStyle w:val="Normal"/>
        <w:spacing w:before="0" w:after="200"/>
        <w:rPr/>
      </w:pPr>
      <w:r>
        <w:rPr>
          <w:b/>
          <w:bCs/>
        </w:rPr>
        <w:t xml:space="preserve">Anticipated CR additions </w:t>
      </w:r>
      <w:r>
        <w:rPr/>
        <w:t>(to be defined by CR process documents):</w:t>
      </w:r>
    </w:p>
    <w:p>
      <w:pPr>
        <w:pStyle w:val="Normal"/>
        <w:spacing w:before="0" w:after="200"/>
        <w:rPr/>
      </w:pPr>
      <w:r>
        <w:rPr>
          <w:b/>
          <w:bCs/>
        </w:rPr>
        <w:t xml:space="preserve">Client lifecycle field (ACT-ISS-001): </w:t>
      </w:r>
      <w:r>
        <w:rPr/>
        <w:t>Account-level client status analogous to partnerStatus. To be established during CR process definition.</w:t>
      </w:r>
    </w:p>
    <w:p>
      <w:pPr>
        <w:pStyle w:val="Normal"/>
        <w:spacing w:before="0" w:after="200"/>
        <w:rPr/>
      </w:pPr>
      <w:r>
        <w:rPr>
          <w:b/>
          <w:bCs/>
        </w:rPr>
        <w:t xml:space="preserve">Geographic Service Area format (ACT-ISS-004 — CLOSED): </w:t>
      </w:r>
      <w:r>
        <w:rPr/>
        <w:t>Restructured from free text to a structured multi-value zip code list during FU-REPORT process definition, 04-30-26. Used for both Partner service areas and Donor/Sponsor funding territories. Master list of Northeast Ohio zip codes to be defined during implementation. CR-MARKETING-ISS-001 remains open to the extent it covers questions beyond field format.</w:t>
      </w:r>
    </w:p>
    <w:p>
      <w:pPr>
        <w:pStyle w:val="Normal"/>
        <w:spacing w:before="0" w:after="200"/>
        <w:rPr/>
      </w:pPr>
      <w:r>
        <w:rPr>
          <w:b/>
          <w:bCs/>
        </w:rPr>
        <w:t xml:space="preserve">Additional Partner-specific fields: </w:t>
      </w:r>
      <w:r>
        <w:rPr/>
        <w:t>As surfaced by CR-PARTNER process documents.</w:t>
      </w:r>
    </w:p>
    <w:p>
      <w:pPr>
        <w:pStyle w:val="Heading2"/>
        <w:spacing w:before="240" w:after="200"/>
        <w:rPr/>
      </w:pPr>
      <w:r>
        <w:rPr/>
        <w:t>4.4 Partnership Agreement Entity</w:t>
      </w:r>
    </w:p>
    <w:p>
      <w:pPr>
        <w:pStyle w:val="Normal"/>
        <w:spacing w:before="0" w:after="200"/>
        <w:rPr/>
      </w:pPr>
      <w:r>
        <w:rPr/>
        <w:t>Partnership Agreement is a custom Base entity that records formal written agreements between CBM and partner organizations. The Entity Inventory lists it as a single-domain entity owned exclusively by the CR domain. No Entity PRD exists yet — it depends on CR-PARTNER process documents (CR-PARTNER-PROSPECT and CR-PARTNER-MANAGE) to establish field-level requirements.</w:t>
      </w:r>
    </w:p>
    <w:p>
      <w:pPr>
        <w:pStyle w:val="Normal"/>
        <w:spacing w:before="0" w:after="200"/>
        <w:rPr/>
      </w:pPr>
      <w:r>
        <w:rPr/>
        <w:t>The legacy CR Domain PRD describes anticipated fields including partner organization link, agreement type (MOU, Partnership Agreement, Letter of Intent, Other), creation date, expiration/renewal date, agreement document attachment, and notes. Agreement documents are restricted to Partner Coordinator and Executive Member access. These will be validated and formalized during CR-PARTNER process definition.</w:t>
      </w:r>
    </w:p>
    <w:p>
      <w:pPr>
        <w:pStyle w:val="Heading2"/>
        <w:spacing w:before="240" w:after="200"/>
        <w:rPr/>
      </w:pPr>
      <w:r>
        <w:rPr/>
        <w:t>4.5 Event Entity</w:t>
      </w:r>
    </w:p>
    <w:p>
      <w:pPr>
        <w:pStyle w:val="Normal"/>
        <w:spacing w:before="0" w:after="200"/>
        <w:rPr/>
      </w:pPr>
      <w:r>
        <w:rPr/>
        <w:t>Event is a custom Event entity that represents workshops, seminars, webinars, and other programming offered by CBM. The Entity Inventory lists it as a single-domain entity owned exclusively by the CR domain. No Entity PRD exists yet — it depends on CR-EVENTS process documents (CR-EVENTS-MANAGE and CR-EVENTS-CONVERT) to establish field-level requirements.</w:t>
      </w:r>
    </w:p>
    <w:p>
      <w:pPr>
        <w:pStyle w:val="Normal"/>
        <w:spacing w:before="0" w:after="200"/>
        <w:rPr/>
      </w:pPr>
      <w:r>
        <w:rPr/>
        <w:t>The legacy CR Domain PRD describes anticipated fields including title, date/time, format (Virtual, In-Person, Hybrid), topic/category, presenter, description, maximum capacity, status (Scheduled, In Progress, Completed, Cancelled), co-sponsoring partners, and document attachments. These will be validated and formalized during CR-EVENTS process definition.</w:t>
      </w:r>
    </w:p>
    <w:p>
      <w:pPr>
        <w:pStyle w:val="Heading2"/>
        <w:spacing w:before="240" w:after="200"/>
        <w:rPr/>
      </w:pPr>
      <w:r>
        <w:rPr/>
        <w:t>4.6 Event Registration Entity</w:t>
      </w:r>
    </w:p>
    <w:p>
      <w:pPr>
        <w:pStyle w:val="Normal"/>
        <w:spacing w:before="0" w:after="200"/>
        <w:rPr/>
      </w:pPr>
      <w:r>
        <w:rPr/>
        <w:t>Event Registration is a custom Base entity that links a Contact to an Event they registered for or attended. The Entity Inventory lists it as a single-domain entity owned exclusively by the CR domain. No Entity PRD exists yet — it depends on CR-EVENTS process documents to establish field-level requirements.</w:t>
      </w:r>
    </w:p>
    <w:p>
      <w:pPr>
        <w:pStyle w:val="Normal"/>
        <w:spacing w:before="0" w:after="200"/>
        <w:rPr/>
      </w:pPr>
      <w:r>
        <w:rPr/>
        <w:t>The legacy CR Domain PRD describes anticipated fields including event link, contact link, registration date, attendance status (Registered, Attended, No-Show, Cancelled), and registration source. These will be validated and formalized during CR-EVENTS process definition.</w:t>
      </w:r>
    </w:p>
    <w:p>
      <w:pPr>
        <w:pStyle w:val="Heading2"/>
        <w:spacing w:before="240" w:after="200"/>
        <w:rPr/>
      </w:pPr>
      <w:r>
        <w:rPr/>
        <w:t>4.7 Open Issues Carried Forward</w:t>
      </w:r>
    </w:p>
    <w:p>
      <w:pPr>
        <w:pStyle w:val="Normal"/>
        <w:spacing w:before="0" w:after="200"/>
        <w:rPr/>
      </w:pPr>
      <w:r>
        <w:rPr/>
        <w:t>The following open issues from upstream documents are relevant to the CR domain and will be addressed as CR process documents and Entity PRDs are completed.</w:t>
      </w:r>
    </w:p>
    <w:tbl>
      <w:tblPr>
        <w:tblW w:w="9360" w:type="dxa"/>
        <w:jc w:val="left"/>
        <w:tblInd w:w="0" w:type="dxa"/>
        <w:tblLayout w:type="fixed"/>
        <w:tblCellMar>
          <w:top w:w="80" w:type="dxa"/>
          <w:left w:w="120" w:type="dxa"/>
          <w:bottom w:w="80" w:type="dxa"/>
          <w:right w:w="120" w:type="dxa"/>
        </w:tblCellMar>
      </w:tblPr>
      <w:tblGrid>
        <w:gridCol w:w="1799"/>
        <w:gridCol w:w="2201"/>
        <w:gridCol w:w="5360"/>
      </w:tblGrid>
      <w:tr>
        <w:trPr/>
        <w:tc>
          <w:tcPr>
            <w:tcW w:w="17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Issue ID</w:t>
            </w:r>
          </w:p>
        </w:tc>
        <w:tc>
          <w:tcPr>
            <w:tcW w:w="2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Source</w:t>
            </w:r>
          </w:p>
        </w:tc>
        <w:tc>
          <w:tcPr>
            <w:tcW w:w="53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CON-ISS-001</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Contact Entity PRD</w:t>
            </w:r>
          </w:p>
        </w:tc>
        <w:tc>
          <w:tcPr>
            <w:tcW w:w="5360" w:type="dxa"/>
            <w:tcBorders>
              <w:top w:val="single" w:sz="2" w:space="0" w:color="CCCCCC"/>
              <w:left w:val="single" w:sz="2" w:space="0" w:color="CCCCCC"/>
              <w:bottom w:val="single" w:sz="2" w:space="0" w:color="CCCCCC"/>
              <w:right w:val="single" w:sz="2" w:space="0" w:color="CCCCCC"/>
            </w:tcBorders>
          </w:tcPr>
          <w:p>
            <w:r>
              <w:t>CLOSED (CR-MARKETING SDO v1.0): Resolved by the prospectStatus field added to the Contact Entity PRD v1.3 paired with the clientStatus field added to the Account Entity PRD v1.2. The two-field model tracks marketing-funnel state on Contact and client-relationship state on Account, answering two different questions without ambiguity.</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CON-ISS-002</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Contact Entity PRD</w:t>
            </w:r>
          </w:p>
        </w:tc>
        <w:tc>
          <w:tcPr>
            <w:tcW w:w="53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Partner lifecycle field not yet defined. To be established during CR-PARTNER process definition.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CON-ISS-004</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Contact Entity PRD</w:t>
            </w:r>
          </w:p>
        </w:tc>
        <w:tc>
          <w:tcPr>
            <w:tcW w:w="53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Incomplete domain coverage for Contact entity. CR domain fields and relationships to be added when CR process documents are completed.</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CON-ISS-008</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Contact Entity PRD</w:t>
            </w:r>
          </w:p>
        </w:tc>
        <w:tc>
          <w:tcPr>
            <w:tcW w:w="5360" w:type="dxa"/>
            <w:tcBorders>
              <w:top w:val="single" w:sz="2" w:space="0" w:color="CCCCCC"/>
              <w:left w:val="single" w:sz="2" w:space="0" w:color="CCCCCC"/>
              <w:bottom w:val="single" w:sz="2" w:space="0" w:color="CCCCCC"/>
              <w:right w:val="single" w:sz="2" w:space="0" w:color="CCCCCC"/>
            </w:tcBorders>
          </w:tcPr>
          <w:p>
            <w:r>
              <w:t>CLOSED (CR-MARKETING SDO v1.0; superseded in v1.1 per MR-Y9-EXC-005): How Did You Hear About CBM enum value list finalized as 8 values: Partner Referral, Social Media, CBM Email, Workshop or Event, Search Engine, News or Media, Personal Referral, Other. Values map to CR sub-domains for channel effectiveness rollup reporting (Partner Referral → CR-PARTNER; Workshop or Event → CR-EVENTS; CBM Email, Social Media, Search Engine, News or Media → CR-MARKETING; Personal Referral, Other → organic/unattributed). Reactivation outbound is not rolled up through this field; reactivation effectiveness is measured through Campaign tracking where Campaign.channel = Reactivation. The 8-value list supersedes the v1.0 10-value list (which included Email Marketing, CBM Website, and Returning Client) per MR-Y9-EXC-005 (programs/MR/EXCEPTIONS.md). Resolved in Contact Entity PRD v1.6.</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ACT-ISS-001</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Account Entity PRD</w:t>
            </w:r>
          </w:p>
        </w:tc>
        <w:tc>
          <w:tcPr>
            <w:tcW w:w="5360" w:type="dxa"/>
            <w:tcBorders>
              <w:top w:val="single" w:sz="2" w:space="0" w:color="CCCCCC"/>
              <w:left w:val="single" w:sz="2" w:space="0" w:color="CCCCCC"/>
              <w:bottom w:val="single" w:sz="2" w:space="0" w:color="CCCCCC"/>
              <w:right w:val="single" w:sz="2" w:space="0" w:color="CCCCCC"/>
            </w:tcBorders>
          </w:tcPr>
          <w:p>
            <w:r>
              <w:t>CLOSED (CR-MARKETING SDO v1.0): Resolved by the clientStatus field added to the Account Entity PRD v1.2. The Account-level client lifecycle is now tracked via clientStatus, paired with Contact.prospectStatus on the Contact entity for the marketing-funnel state of individual people.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ACT-ISS-002</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Account Entity PRD</w:t>
            </w:r>
          </w:p>
        </w:tc>
        <w:tc>
          <w:tcPr>
            <w:tcW w:w="53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Incomplete domain coverage for Account entity. CR domain fields to be validated and expanded when CR process documents are completed.</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ACT-ISS-004</w:t>
            </w:r>
          </w:p>
        </w:tc>
        <w:tc>
          <w:tcPr>
            <w:tcW w:w="22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Account Entity PRD</w:t>
            </w:r>
          </w:p>
        </w:tc>
        <w:tc>
          <w:tcPr>
            <w:tcW w:w="5360" w:type="dxa"/>
            <w:tcBorders>
              <w:top w:val="single" w:sz="2" w:space="0" w:color="CCCCCC"/>
              <w:left w:val="single" w:sz="2" w:space="0" w:color="CCCCCC"/>
              <w:bottom w:val="single" w:sz="2" w:space="0" w:color="CCCCCC"/>
              <w:right w:val="single" w:sz="2" w:space="0" w:color="CCCCCC"/>
            </w:tcBorders>
          </w:tcPr>
          <w:p>
            <w:r>
              <w:rPr/>
              <w:t>CLOSED by FU-REPORT process definition session, 04-30-26. Geographic Service Area field format restructured from free text to a structured multi-value zip code list, used for both Partner service areas and Donor/Sponsor funding territories.</w:t>
            </w:r>
          </w:p>
        </w:tc>
      </w:tr>
      <w:tr>
        <w:tc>
          <w:tcPr>
            <w:tcW w:type="dxa" w:w="1799"/>
          </w:tcPr>
          <w:p>
            <w:r>
              <w:t>CR-EVENTS-ISS-001</w:t>
            </w:r>
          </w:p>
        </w:tc>
        <w:tc>
          <w:tcPr>
            <w:tcW w:type="dxa" w:w="2201"/>
          </w:tcPr>
          <w:p>
            <w:r>
              <w:t>CR-EVENTS Sub-Domain Overview</w:t>
            </w:r>
          </w:p>
        </w:tc>
        <w:tc>
          <w:tcPr>
            <w:tcW w:type="dxa" w:w="5360"/>
          </w:tcPr>
          <w:p>
            <w:r>
              <w:t>Event feedback surveys deferred to the future Survey Service definition. Event feedback data collection and analysis are out of scope for CR-EVENTS v1.0. To be addressed when the Survey Service is defined as a Cross-Domain Service PRD (Phase 6).</w:t>
            </w:r>
          </w:p>
        </w:tc>
      </w:tr>
    </w:tbl>
    <w:p>
      <w:pPr>
        <w:pStyle w:val="Normal"/>
        <w:spacing w:before="0" w:after="200"/>
        <w:rPr/>
      </w:pPr>
      <w:r>
        <w:rPr/>
      </w:r>
    </w:p>
    <w:p>
      <w:pPr>
        <w:pStyle w:val="Heading1"/>
        <w:spacing w:before="240" w:after="200"/>
        <w:rPr/>
      </w:pPr>
      <w:r>
        <w:rPr/>
        <w:t>5. Updates to Prior Documents</w:t>
      </w:r>
    </w:p>
    <w:tbl>
      <w:tblPr>
        <w:tblW w:w="9360" w:type="dxa"/>
        <w:jc w:val="left"/>
        <w:tblInd w:w="0" w:type="dxa"/>
        <w:tblLayout w:type="fixed"/>
        <w:tblCellMar>
          <w:top w:w="80" w:type="dxa"/>
          <w:left w:w="120" w:type="dxa"/>
          <w:bottom w:w="80" w:type="dxa"/>
          <w:right w:w="120" w:type="dxa"/>
        </w:tblCellMar>
      </w:tblPr>
      <w:tblGrid>
        <w:gridCol w:w="2199"/>
        <w:gridCol w:w="3001"/>
        <w:gridCol w:w="4160"/>
      </w:tblGrid>
      <w:tr>
        <w:trPr/>
        <w:tc>
          <w:tcPr>
            <w:tcW w:w="2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Document</w:t>
            </w:r>
          </w:p>
        </w:tc>
        <w:tc>
          <w:tcPr>
            <w:tcW w:w="30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Update Needed</w:t>
            </w:r>
          </w:p>
        </w:tc>
        <w:tc>
          <w:tcPr>
            <w:tcW w:w="41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Rationale</w:t>
            </w:r>
          </w:p>
        </w:tc>
      </w:tr>
      <w:tr>
        <w:trPr/>
        <w:tc>
          <w:tcPr>
            <w:tcW w:w="2199" w:type="dxa"/>
            <w:tcBorders>
              <w:top w:val="single" w:sz="2" w:space="0" w:color="CCCCCC"/>
              <w:left w:val="single" w:sz="2" w:space="0" w:color="CCCCCC"/>
              <w:bottom w:val="single" w:sz="2" w:space="0" w:color="CCCCCC"/>
              <w:right w:val="single" w:sz="2" w:space="0" w:color="CCCCCC"/>
            </w:tcBorders>
          </w:tcPr>
          <w:p>
            <w:r>
              <w:t>CBM-Master-PRD.docx v2.2 (applied in v2.3)</w:t>
            </w:r>
          </w:p>
        </w:tc>
        <w:tc>
          <w:tcPr>
            <w:tcW w:w="3001" w:type="dxa"/>
            <w:tcBorders>
              <w:top w:val="single" w:sz="2" w:space="0" w:color="CCCCCC"/>
              <w:left w:val="single" w:sz="2" w:space="0" w:color="CCCCCC"/>
              <w:bottom w:val="single" w:sz="2" w:space="0" w:color="CCCCCC"/>
              <w:right w:val="single" w:sz="2" w:space="0" w:color="CCCCCC"/>
            </w:tcBorders>
          </w:tcPr>
          <w:p>
            <w:r>
              <w:t>Add MST-PER-013 (Client) to CR domain persona list (applied)</w:t>
            </w:r>
          </w:p>
        </w:tc>
        <w:tc>
          <w:tcPr>
            <w:tcW w:w="41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2"/>
                <w:szCs w:val="22"/>
              </w:rPr>
              <w:t>The Client persona’s definition lists “Client Recruiting” as a primary domain, and the legacy CR Domain PRD includes them in CR-EVENTS. The CR domain exists to locate and recruit clients, making them a participating persona. The persona list in Section 3.5 should include MST-PER-013.</w:t>
            </w:r>
          </w:p>
        </w:tc>
      </w:tr>
      <w:tr>
        <w:trPr/>
        <w:tc>
          <w:tcPr>
            <w:tcW w:w="2199" w:type="dxa"/>
            <w:tcBorders>
              <w:top w:val="single" w:sz="2" w:space="0" w:color="CCCCCC"/>
              <w:left w:val="single" w:sz="2" w:space="0" w:color="CCCCCC"/>
              <w:bottom w:val="single" w:sz="2" w:space="0" w:color="CCCCCC"/>
              <w:right w:val="single" w:sz="2" w:space="0" w:color="CCCCCC"/>
            </w:tcBorders>
          </w:tcPr>
          <w:p>
            <w:r>
              <w:t xml:space="preserve">CBM-Master-PRD.docx v2.3 (applied in v2.4)</w:t>
            </w:r>
          </w:p>
        </w:tc>
        <w:tc>
          <w:tcPr>
            <w:tcW w:w="3001" w:type="dxa"/>
            <w:tcBorders>
              <w:top w:val="single" w:sz="2" w:space="0" w:color="CCCCCC"/>
              <w:left w:val="single" w:sz="2" w:space="0" w:color="CCCCCC"/>
              <w:bottom w:val="single" w:sz="2" w:space="0" w:color="CCCCCC"/>
              <w:right w:val="single" w:sz="2" w:space="0" w:color="CCCCCC"/>
            </w:tcBorders>
          </w:tcPr>
          <w:p>
            <w:r>
              <w:t xml:space="preserve">Add Section 5.4 referencing the Universal Contact-Creation Rules (applied)</w:t>
            </w:r>
          </w:p>
        </w:tc>
        <w:tc>
          <w:tcPr>
            <w:tcW w:w="4160" w:type="dxa"/>
            <w:tcBorders>
              <w:top w:val="single" w:sz="2" w:space="0" w:color="CCCCCC"/>
              <w:left w:val="single" w:sz="2" w:space="0" w:color="CCCCCC"/>
              <w:bottom w:val="single" w:sz="2" w:space="0" w:color="CCCCCC"/>
              <w:right w:val="single" w:sz="2" w:space="0" w:color="CCCCCC"/>
            </w:tcBorders>
          </w:tcPr>
          <w:p>
            <w:pPr>
              <w:pStyle w:val="Normal"/>
              <w:rPr/>
            </w:pPr>
            <w:r>
              <w:t xml:space="preserve">The CR-MARKETING Sub-Domain Overview v1.0 formalized 5 universal rules for Contact creation that apply CRM-wide across all domains. The Master PRD Section 5 (System Scope) needed a reference so other domains know to follow the principle. Applied as Section 5.4 in Master PRD v2.4.</w:t>
            </w:r>
          </w:p>
        </w:tc>
      </w:tr>
      <w:tr>
        <w:trPr/>
        <w:tc>
          <w:tcPr>
            <w:tcW w:w="2199" w:type="dxa"/>
            <w:tcBorders>
              <w:top w:val="single" w:sz="2" w:space="0" w:color="CCCCCC"/>
              <w:left w:val="single" w:sz="2" w:space="0" w:color="CCCCCC"/>
              <w:bottom w:val="single" w:sz="2" w:space="0" w:color="CCCCCC"/>
              <w:right w:val="single" w:sz="2" w:space="0" w:color="CCCCCC"/>
            </w:tcBorders>
          </w:tcPr>
          <w:p>
            <w:r>
              <w:t xml:space="preserve">Contact-Entity-PRD.docx v1.2 (applied in v1.3)</w:t>
            </w:r>
          </w:p>
        </w:tc>
        <w:tc>
          <w:tcPr>
            <w:tcW w:w="3001" w:type="dxa"/>
            <w:tcBorders>
              <w:top w:val="single" w:sz="2" w:space="0" w:color="CCCCCC"/>
              <w:left w:val="single" w:sz="2" w:space="0" w:color="CCCCCC"/>
              <w:bottom w:val="single" w:sz="2" w:space="0" w:color="CCCCCC"/>
              <w:right w:val="single" w:sz="2" w:space="0" w:color="CCCCCC"/>
            </w:tcBorders>
          </w:tcPr>
          <w:p>
            <w:r>
              <w:t xml:space="preserve">Add 8 new fields, finalize howDidYouHearAboutCbm enum, update narrative (applied)</w:t>
            </w:r>
          </w:p>
        </w:tc>
        <w:tc>
          <w:tcPr>
            <w:tcW w:w="4160" w:type="dxa"/>
            <w:tcBorders>
              <w:top w:val="single" w:sz="2" w:space="0" w:color="CCCCCC"/>
              <w:left w:val="single" w:sz="2" w:space="0" w:color="CCCCCC"/>
              <w:bottom w:val="single" w:sz="2" w:space="0" w:color="CCCCCC"/>
              <w:right w:val="single" w:sz="2" w:space="0" w:color="CCCCCC"/>
            </w:tcBorders>
          </w:tcPr>
          <w:p>
            <w:pPr>
              <w:pStyle w:val="Normal"/>
              <w:rPr/>
            </w:pPr>
            <w:r>
              <w:t xml:space="preserve">The CR-MARKETING Sub-Domain Overview v1.0 surfaced 8 new fields for the Contact entity (prospectStatus, sourceAttributionDetails, emailOptOut, smsOptOut, plus 4 marketing engagement roll-ups) and finalized the 10-value howDidYouHearAboutCbm enum. Applied as Section 3.5 in Contact Entity PRD v1.3, which also closes CON-ISS-001 and CON-ISS-008.</w:t>
            </w:r>
          </w:p>
        </w:tc>
      </w:tr>
      <w:tr>
        <w:trPr/>
        <w:tc>
          <w:tcPr>
            <w:tcW w:w="2199" w:type="dxa"/>
            <w:tcBorders>
              <w:top w:val="single" w:sz="2" w:space="0" w:color="CCCCCC"/>
              <w:left w:val="single" w:sz="2" w:space="0" w:color="CCCCCC"/>
              <w:bottom w:val="single" w:sz="2" w:space="0" w:color="CCCCCC"/>
              <w:right w:val="single" w:sz="2" w:space="0" w:color="CCCCCC"/>
            </w:tcBorders>
          </w:tcPr>
          <w:p>
            <w:r>
              <w:t xml:space="preserve">Account-Entity-PRD.docx v1.1 (applied in v1.2)</w:t>
            </w:r>
          </w:p>
        </w:tc>
        <w:tc>
          <w:tcPr>
            <w:tcW w:w="3001" w:type="dxa"/>
            <w:tcBorders>
              <w:top w:val="single" w:sz="2" w:space="0" w:color="CCCCCC"/>
              <w:left w:val="single" w:sz="2" w:space="0" w:color="CCCCCC"/>
              <w:bottom w:val="single" w:sz="2" w:space="0" w:color="CCCCCC"/>
              <w:right w:val="single" w:sz="2" w:space="0" w:color="CCCCCC"/>
            </w:tcBorders>
          </w:tcPr>
          <w:p>
            <w:r>
              <w:t xml:space="preserve">Add clientStatus field, document native website field as matching signal (applied)</w:t>
            </w:r>
          </w:p>
        </w:tc>
        <w:tc>
          <w:tcPr>
            <w:tcW w:w="4160" w:type="dxa"/>
            <w:tcBorders>
              <w:top w:val="single" w:sz="2" w:space="0" w:color="CCCCCC"/>
              <w:left w:val="single" w:sz="2" w:space="0" w:color="CCCCCC"/>
              <w:bottom w:val="single" w:sz="2" w:space="0" w:color="CCCCCC"/>
              <w:right w:val="single" w:sz="2" w:space="0" w:color="CCCCCC"/>
            </w:tcBorders>
          </w:tcPr>
          <w:p>
            <w:pPr>
              <w:pStyle w:val="Normal"/>
              <w:rPr/>
            </w:pPr>
            <w:r>
              <w:t xml:space="preserve">The CR-MARKETING Sub-Domain Overview v1.0 surfaced a new clientStatus field tracking the client-relationship lifecycle at the Account level, paired with Contact.prospectStatus. The Sub-Domain Overview also formalized that the native Account.website field is the primary signal for prospect-Contact-to-Account matching. Applied in Account Entity PRD v1.2, which closes ACT-ISS-001.</w:t>
            </w:r>
          </w:p>
        </w:tc>
      </w:tr>
      <w:tr>
        <w:trPr/>
        <w:tc>
          <w:tcPr>
            <w:tcW w:w="2199" w:type="dxa"/>
            <w:tcBorders>
              <w:top w:val="single" w:sz="2" w:space="0" w:color="CCCCCC"/>
              <w:left w:val="single" w:sz="2" w:space="0" w:color="CCCCCC"/>
              <w:bottom w:val="single" w:sz="2" w:space="0" w:color="CCCCCC"/>
              <w:right w:val="single" w:sz="2" w:space="0" w:color="CCCCCC"/>
            </w:tcBorders>
          </w:tcPr>
          <w:p>
            <w:r>
              <w:t xml:space="preserve">MN-INTAKE.docx v2.2 (applied in v2.3)</w:t>
            </w:r>
          </w:p>
        </w:tc>
        <w:tc>
          <w:tcPr>
            <w:tcW w:w="3001" w:type="dxa"/>
            <w:tcBorders>
              <w:top w:val="single" w:sz="2" w:space="0" w:color="CCCCCC"/>
              <w:left w:val="single" w:sz="2" w:space="0" w:color="CCCCCC"/>
              <w:bottom w:val="single" w:sz="2" w:space="0" w:color="CCCCCC"/>
              <w:right w:val="single" w:sz="2" w:space="0" w:color="CCCCCC"/>
            </w:tcBorders>
          </w:tcPr>
          <w:p>
            <w:r>
              <w:t xml:space="preserve">Add 4 new requirements for prospect-to-applicant handoff (applied)</w:t>
            </w:r>
          </w:p>
        </w:tc>
        <w:tc>
          <w:tcPr>
            <w:tcW w:w="4160" w:type="dxa"/>
            <w:tcBorders>
              <w:top w:val="single" w:sz="2" w:space="0" w:color="CCCCCC"/>
              <w:left w:val="single" w:sz="2" w:space="0" w:color="CCCCCC"/>
              <w:bottom w:val="single" w:sz="2" w:space="0" w:color="CCCCCC"/>
              <w:right w:val="single" w:sz="2" w:space="0" w:color="CCCCCC"/>
            </w:tcBorders>
          </w:tcPr>
          <w:p>
            <w:pPr>
              <w:pStyle w:val="Normal"/>
              <w:rPr/>
            </w:pPr>
            <w:r>
              <w:t xml:space="preserve">The CR-MARKETING Sub-Domain Overview v1.0 established that prospect Contacts exist in the CRM before application, requiring MN-INTAKE to handle the prospect-Contact-already-exists case, transition Account.clientStatus and Contact.prospectStatus at application processing time, and respect the layered authority policy when writing howDidYouHearAboutCbm. Applied as MN-INTAKE-REQ-010 through MN-INTAKE-REQ-013 in MN-INTAKE v2.3, which closes MN-INTAKE-ISS-002.</w:t>
            </w:r>
          </w:p>
        </w:tc>
      </w:tr>
      <w:tr>
        <w:trPr/>
        <w:tc>
          <w:tcPr>
            <w:tcW w:w="2199" w:type="dxa"/>
            <w:tcBorders>
              <w:top w:val="single" w:sz="2" w:space="0" w:color="CCCCCC"/>
              <w:left w:val="single" w:sz="2" w:space="0" w:color="CCCCCC"/>
              <w:bottom w:val="single" w:sz="2" w:space="0" w:color="CCCCCC"/>
              <w:right w:val="single" w:sz="2" w:space="0" w:color="CCCCCC"/>
            </w:tcBorders>
          </w:tcPr>
          <w:p>
            <w:r>
              <w:t xml:space="preserve">CBM-Entity-Inventory.docx v1.2 (pending)</w:t>
            </w:r>
          </w:p>
        </w:tc>
        <w:tc>
          <w:tcPr>
            <w:tcW w:w="3001" w:type="dxa"/>
            <w:tcBorders>
              <w:top w:val="single" w:sz="2" w:space="0" w:color="CCCCCC"/>
              <w:left w:val="single" w:sz="2" w:space="0" w:color="CCCCCC"/>
              <w:bottom w:val="single" w:sz="2" w:space="0" w:color="CCCCCC"/>
              <w:right w:val="single" w:sz="2" w:space="0" w:color="CCCCCC"/>
            </w:tcBorders>
          </w:tcPr>
          <w:p>
            <w:r>
              <w:t xml:space="preserve">Resolve Campaign row; add Campaign Group and Campaign Engagement rows (pending)</w:t>
            </w:r>
          </w:p>
        </w:tc>
        <w:tc>
          <w:tcPr>
            <w:tcW w:w="4160" w:type="dxa"/>
            <w:tcBorders>
              <w:top w:val="single" w:sz="2" w:space="0" w:color="CCCCCC"/>
              <w:left w:val="single" w:sz="2" w:space="0" w:color="CCCCCC"/>
              <w:bottom w:val="single" w:sz="2" w:space="0" w:color="CCCCCC"/>
              <w:right w:val="single" w:sz="2" w:space="0" w:color="CCCCCC"/>
            </w:tcBorders>
          </w:tcPr>
          <w:p>
            <w:pPr>
              <w:pStyle w:val="Normal"/>
              <w:rPr/>
            </w:pPr>
            <w:r>
              <w:t xml:space="preserve">The CR-MARKETING Sub-Domain Overview v1.0 surfaced three new custom Base entities owned by CR (Campaign, Campaign Group, Campaign Engagement). The existing Campaign row in the Entity Inventory has TBD type/status that should be resolved to custom Base, owned by CR. Two new rows should be added for Campaign Group and Campaign Engagement. All three Entity PRDs are deferred to Phase 2b after CR-MARKETING-CAMPAIGNS process definition.</w:t>
            </w:r>
          </w:p>
        </w:tc>
      </w:tr>
      <w:tr>
        <w:tc>
          <w:tcPr>
            <w:tcW w:type="dxa" w:w="2199"/>
          </w:tcPr>
          <w:p>
            <w:r>
              <w:t>Contact-Entity-PRD.docx v1.4 (applied in v1.5)</w:t>
            </w:r>
          </w:p>
        </w:tc>
        <w:tc>
          <w:tcPr>
            <w:tcW w:type="dxa" w:w="3001"/>
          </w:tcPr>
          <w:p>
            <w:r>
              <w:t>Add presenterBio, presenterTopics, lastConversionPushSentAt, lastReactivationSentAt fields; update Section 5.7 narrative (applied)</w:t>
            </w:r>
          </w:p>
        </w:tc>
        <w:tc>
          <w:tcPr>
            <w:tcW w:type="dxa" w:w="4160"/>
          </w:tcPr>
          <w:p>
            <w:r>
              <w:t>CR-EVENTS Sub-Domain Overview v1.0 surfaced two presenter-specific fields. CR-EVENTS-CONVERT v1.0 and CR-REACTIVATE Sub-Domain Overview v1.0 surfaced outreach tracking timestamp fields.</w:t>
            </w:r>
          </w:p>
        </w:tc>
      </w:tr>
      <w:tr>
        <w:tc>
          <w:tcPr>
            <w:tcW w:type="dxa" w:w="2199"/>
          </w:tcPr>
          <w:p>
            <w:r>
              <w:t>Account-Entity-PRD.docx v1.4 (applied in v1.5)</w:t>
            </w:r>
          </w:p>
        </w:tc>
        <w:tc>
          <w:tcPr>
            <w:tcW w:type="dxa" w:w="3001"/>
          </w:tcPr>
          <w:p>
            <w:r>
              <w:t>Add applicantSince field (applied)</w:t>
            </w:r>
          </w:p>
        </w:tc>
        <w:tc>
          <w:tcPr>
            <w:tcW w:type="dxa" w:w="4160"/>
          </w:tcPr>
          <w:p>
            <w:r>
              <w:t>CR-EVENTS-CONVERT v1.0 introduced applicantSince as the application-side anchor for conversion window calculation, system-populated by MN-INTAKE.</w:t>
            </w:r>
          </w:p>
        </w:tc>
      </w:tr>
      <w:tr>
        <w:tc>
          <w:tcPr>
            <w:tcW w:type="dxa" w:w="2199"/>
          </w:tcPr>
          <w:p>
            <w:r>
              <w:t>MN-INTAKE.docx v2.3 (applied in v2.4)</w:t>
            </w:r>
          </w:p>
        </w:tc>
        <w:tc>
          <w:tcPr>
            <w:tcW w:type="dxa" w:w="3001"/>
          </w:tcPr>
          <w:p>
            <w:r>
              <w:t>Extend REQ-011 to populate Account.applicantSince (applied)</w:t>
            </w:r>
          </w:p>
        </w:tc>
        <w:tc>
          <w:tcPr>
            <w:tcW w:type="dxa" w:w="4160"/>
          </w:tcPr>
          <w:p>
            <w:r>
              <w:t>CR-EVENTS-CONVERT v1.0 requires MN-INTAKE to system-populate Account.applicantSince with the current datetime when clientStatus transitions to Applicant.</w:t>
            </w:r>
          </w:p>
        </w:tc>
      </w:tr>
      <w:tr>
        <w:tc>
          <w:tcPr>
            <w:tcW w:type="dxa" w:w="2199"/>
          </w:tcPr>
          <w:p>
            <w:r>
              <w:t>Contact-Entity-PRD.docx v1.5 (applied in v1.6)</w:t>
            </w:r>
          </w:p>
        </w:tc>
        <w:tc>
          <w:tcPr>
            <w:tcW w:type="dxa" w:w="3001"/>
          </w:tcPr>
          <w:p>
            <w:r>
              <w:t>Finalize 8-value howDidYouHearAboutCbm enum; enumerate mentoringFocusAreas, skillsExpertiseTags, fluentLanguages; close CON-ISS-005 through CON-ISS-007 (applied)</w:t>
            </w:r>
          </w:p>
        </w:tc>
        <w:tc>
          <w:tcPr>
            <w:tcW w:type="dxa" w:w="4160"/>
          </w:tcPr>
          <w:p>
            <w:r>
              <w:t>The MR Phase 9 YAML generation session (MR-Y9-EXC-005, programs/MR/EXCEPTIONS.md) revised howDidYouHearAboutCbm from the 10-value list originally locked in CR-MARKETING SDO v1.0 to an 8-value list (Partner Referral, Social Media, CBM Email, Workshop or Event, Search Engine, News or Media, Personal Referral, Other). Email Marketing was renamed to CBM Email; CBM Website and Returning Client were removed. Reactivation outbound is now tracked via Campaign.channel = Reactivation rather than through the enum. Applied in Contact Entity PRD v1.6 alongside enumeration of the three multiEnum value lists (42 mentoringFocusAreas, 33 skillsExpertiseTags, 36 fluentLanguages) and closure of CON-ISS-005 through CON-ISS-007.</w:t>
            </w:r>
          </w:p>
        </w:tc>
      </w:tr>
      <w:tr>
        <w:tc>
          <w:tcPr>
            <w:tcW w:type="dxa" w:w="2199"/>
          </w:tcPr>
          <w:p>
            <w:r>
              <w:t>Account-Entity-PRD.docx v1.5 (applied in v1.6)</w:t>
            </w:r>
          </w:p>
        </w:tc>
        <w:tc>
          <w:tcPr>
            <w:tcW w:type="dxa" w:w="3001"/>
          </w:tcPr>
          <w:p>
            <w:r>
              <w:t>Enumerate 20 NAICS sectors explicitly (applied)</w:t>
            </w:r>
          </w:p>
        </w:tc>
        <w:tc>
          <w:tcPr>
            <w:tcW w:type="dxa" w:w="4160"/>
          </w:tcPr>
          <w:p>
            <w:r>
              <w:t>The MR Phase 9 YAML generation session (MR-Y9-EXC-001) required the Account entity's industry sector field to be enumerated rather than free text. Applied in Account Entity PRD v1.6 as an explicit 20-value NAICS sector list.</w:t>
            </w:r>
          </w:p>
        </w:tc>
      </w:tr>
      <w:tr>
        <w:tc>
          <w:tcPr>
            <w:tcW w:type="dxa" w:w="2199"/>
          </w:tcPr>
          <w:p>
            <w:r>
              <w:t>CBM-SubDomain-Overview-Marketing.docx v1.2 (applied in v1.3)</w:t>
            </w:r>
          </w:p>
        </w:tc>
        <w:tc>
          <w:tcPr>
            <w:tcW w:type="dxa" w:w="3001"/>
          </w:tcPr>
          <w:p>
            <w:r>
              <w:t>Revise channel rollup table for 8-value howDidYouHearAboutCbm list (applied)</w:t>
            </w:r>
          </w:p>
        </w:tc>
        <w:tc>
          <w:tcPr>
            <w:tcW w:type="dxa" w:w="4160"/>
          </w:tcPr>
          <w:p>
            <w:r>
              <w:t>Channel rollup table updated: CBM Website and Returning Client rows removed; Email Marketing renamed to CBM Email; rollup to CR sub-domains restated (Partner Referral → CR-PARTNER; Workshop or Event → CR-EVENTS; CBM Email, Social Media, Search Engine, News or Media → CR-MARKETING; Personal Referral, Other → organic/unattributed). Reactivation outbound is not rolled up through howDidYouHearAboutCbm.</w:t>
            </w:r>
          </w:p>
        </w:tc>
      </w:tr>
    </w:tbl>
    <w:p>
      <w:pPr>
        <w:pStyle w:val="Normal"/>
        <w:spacing w:before="0" w:after="200"/>
        <w:rPr/>
      </w:pPr>
      <w:r>
        <w:rPr/>
      </w:r>
    </w:p>
    <w:p>
      <w:pPr>
        <w:pStyle w:val="Heading1"/>
        <w:spacing w:before="240" w:after="200"/>
        <w:rPr/>
      </w:pPr>
      <w:r>
        <w:rPr/>
        <w:t>6. Open Issues</w:t>
      </w:r>
    </w:p>
    <w:p>
      <w:pPr>
        <w:pStyle w:val="Normal"/>
        <w:spacing w:before="0" w:after="200"/>
        <w:rPr/>
      </w:pPr>
      <w:r>
        <w:rPr/>
        <w:t>No new open issues were identified during the Domain Overview session. All open issues relevant to the CR domain are carried forward from upstream documents and listed in Section 4.7.</w:t>
      </w:r>
    </w:p>
    <w:p>
      <w:pPr>
        <w:pStyle w:val="Heading1"/>
        <w:spacing w:before="240" w:after="200"/>
        <w:rPr/>
      </w:pPr>
      <w:r>
        <w:rPr/>
        <w:t>7. Interview Transcript</w:t>
      </w:r>
    </w:p>
    <w:p>
      <w:pPr>
        <w:pStyle w:val="Normal"/>
        <w:spacing w:before="0" w:after="200"/>
        <w:rPr/>
      </w:pPr>
      <w:r>
        <w:rPr>
          <w:b/>
          <w:bCs/>
          <w:sz w:val="24"/>
          <w:szCs w:val="24"/>
        </w:rPr>
        <w:t>Persona Scoping</w:t>
      </w:r>
    </w:p>
    <w:p>
      <w:pPr>
        <w:pStyle w:val="Normal"/>
        <w:spacing w:before="0" w:after="200"/>
        <w:rPr/>
      </w:pPr>
      <w:r>
        <w:rPr>
          <w:b/>
          <w:bCs/>
        </w:rPr>
        <w:t xml:space="preserve">Q: </w:t>
      </w:r>
      <w:r>
        <w:rPr/>
        <w:t>The Master PRD’s CR “Personas Involved” lists 6 personas but does not include MST-PER-013 (Client). However, the Client persona definition says “Primary Domains: Mentoring, Client Recruiting.” Should the Client persona be added to the CR domain?</w:t>
      </w:r>
    </w:p>
    <w:p>
      <w:pPr>
        <w:pStyle w:val="Normal"/>
        <w:spacing w:before="0" w:after="200"/>
        <w:rPr/>
      </w:pPr>
      <w:r>
        <w:rPr>
          <w:b/>
          <w:bCs/>
        </w:rPr>
        <w:t xml:space="preserve">A: </w:t>
      </w:r>
      <w:r>
        <w:rPr/>
        <w:t>Yes, only because the goal of the process is to locate and recruit clients.</w:t>
      </w:r>
    </w:p>
    <w:p>
      <w:pPr>
        <w:pStyle w:val="Normal"/>
        <w:spacing w:before="0" w:after="200"/>
        <w:rPr/>
      </w:pPr>
      <w:r>
        <w:rPr>
          <w:b/>
          <w:bCs/>
        </w:rPr>
        <w:t xml:space="preserve">Decision: </w:t>
      </w:r>
      <w:r>
        <w:rPr/>
        <w:t>MST-PER-013 (Client) added as the 7th CR domain persona. Master PRD update needed to add Client to the CR persona list.</w:t>
      </w:r>
    </w:p>
    <w:p>
      <w:pPr>
        <w:pStyle w:val="Normal"/>
        <w:spacing w:before="0" w:after="200"/>
        <w:rPr/>
      </w:pPr>
      <w:r>
        <w:rPr>
          <w:b/>
          <w:bCs/>
          <w:sz w:val="24"/>
          <w:szCs w:val="24"/>
        </w:rPr>
        <w:t>Process Inventory — CR-PARTNER</w:t>
      </w:r>
    </w:p>
    <w:p>
      <w:pPr>
        <w:pStyle w:val="Normal"/>
        <w:spacing w:before="0" w:after="200"/>
        <w:rPr/>
      </w:pPr>
      <w:r>
        <w:rPr>
          <w:b/>
          <w:bCs/>
        </w:rPr>
        <w:t xml:space="preserve">Q: </w:t>
      </w:r>
      <w:r>
        <w:rPr/>
        <w:t>The legacy CR Domain PRD treated partner management as a single monolithic process. Should it stay as one process or be broken into multiple? Proposed: CR-PARTNER-PROSPECT (identifying, qualifying, and activating partners) and CR-PARTNER-MANAGE (ongoing relationship management). Two processes rather than five, because the partner lifecycle doesn’t have the distinct application/onboarding gates that the mentor lifecycle does.</w:t>
      </w:r>
    </w:p>
    <w:p>
      <w:pPr>
        <w:pStyle w:val="Normal"/>
        <w:spacing w:before="0" w:after="200"/>
        <w:rPr/>
      </w:pPr>
      <w:r>
        <w:rPr>
          <w:b/>
          <w:bCs/>
        </w:rPr>
        <w:t xml:space="preserve">A: </w:t>
      </w:r>
      <w:r>
        <w:rPr/>
        <w:t>Approved. Two-process breakdown accepted.</w:t>
      </w:r>
    </w:p>
    <w:p>
      <w:pPr>
        <w:pStyle w:val="Normal"/>
        <w:spacing w:before="0" w:after="200"/>
        <w:rPr/>
      </w:pPr>
      <w:r>
        <w:rPr>
          <w:b/>
          <w:bCs/>
        </w:rPr>
        <w:t xml:space="preserve">Decision: </w:t>
      </w:r>
      <w:r>
        <w:rPr/>
        <w:t>CR-PARTNER sub-domain has two processes: CR-PARTNER-PROSPECT and CR-PARTNER-MANAGE.</w:t>
      </w:r>
    </w:p>
    <w:p>
      <w:pPr>
        <w:pStyle w:val="Normal"/>
        <w:spacing w:before="0" w:after="200"/>
        <w:rPr/>
      </w:pPr>
      <w:r>
        <w:rPr>
          <w:b/>
          <w:bCs/>
          <w:sz w:val="24"/>
          <w:szCs w:val="24"/>
        </w:rPr>
        <w:t>Process Inventory — CR-MARKETING</w:t>
      </w:r>
    </w:p>
    <w:p>
      <w:pPr>
        <w:pStyle w:val="Normal"/>
        <w:spacing w:before="0" w:after="200"/>
        <w:rPr/>
      </w:pPr>
      <w:r>
        <w:rPr>
          <w:b/>
          <w:bCs/>
        </w:rPr>
        <w:t xml:space="preserve">Q: </w:t>
      </w:r>
      <w:r>
        <w:rPr/>
        <w:t>The legacy process was a single CR-OUTREACH. Two distinct operational areas proposed: CR-MARKETING-CONTACTS (managing the prospect contact pipeline, list segmentation, platform sync) and CR-MARKETING-CAMPAIGNS (planning, executing, and measuring outreach campaigns, application source attribution). These are tightly coupled but separate operational concerns. Two processes or one?</w:t>
      </w:r>
    </w:p>
    <w:p>
      <w:pPr>
        <w:pStyle w:val="Normal"/>
        <w:spacing w:before="0" w:after="200"/>
        <w:rPr/>
      </w:pPr>
      <w:r>
        <w:rPr>
          <w:b/>
          <w:bCs/>
        </w:rPr>
        <w:t xml:space="preserve">A: </w:t>
      </w:r>
      <w:r>
        <w:rPr/>
        <w:t>Approved. Two-process breakdown accepted.</w:t>
      </w:r>
    </w:p>
    <w:p>
      <w:pPr>
        <w:pStyle w:val="Normal"/>
        <w:spacing w:before="0" w:after="200"/>
        <w:rPr/>
      </w:pPr>
      <w:r>
        <w:rPr>
          <w:b/>
          <w:bCs/>
        </w:rPr>
        <w:t xml:space="preserve">Decision: </w:t>
      </w:r>
      <w:r>
        <w:rPr/>
        <w:t>CR-MARKETING sub-domain has two processes: CR-MARKETING-CONTACTS and CR-MARKETING-CAMPAIGNS.</w:t>
      </w:r>
    </w:p>
    <w:p>
      <w:pPr>
        <w:pStyle w:val="Normal"/>
        <w:spacing w:before="0" w:after="200"/>
        <w:rPr/>
      </w:pPr>
      <w:r>
        <w:rPr>
          <w:b/>
          <w:bCs/>
          <w:sz w:val="24"/>
          <w:szCs w:val="24"/>
        </w:rPr>
        <w:t>Process Inventory — CR-EVENTS</w:t>
      </w:r>
    </w:p>
    <w:p>
      <w:pPr>
        <w:pStyle w:val="Normal"/>
        <w:spacing w:before="0" w:after="200"/>
        <w:rPr/>
      </w:pPr>
      <w:r>
        <w:rPr>
          <w:b/>
          <w:bCs/>
        </w:rPr>
        <w:t xml:space="preserve">Q: </w:t>
      </w:r>
      <w:r>
        <w:rPr/>
        <w:t>The event lifecycle has a natural break between delivery (setup, registration, execution, attendance) and post-event work (follow-up, conversion tracking, analytics). Proposed: CR-EVENTS-MANAGE (event lifecycle through attendance recording) and CR-EVENTS-CONVERT (post-event follow-up and conversion tracking). One process or two?</w:t>
      </w:r>
    </w:p>
    <w:p>
      <w:pPr>
        <w:pStyle w:val="Normal"/>
        <w:spacing w:before="0" w:after="200"/>
        <w:rPr/>
      </w:pPr>
      <w:r>
        <w:rPr>
          <w:b/>
          <w:bCs/>
        </w:rPr>
        <w:t xml:space="preserve">A: </w:t>
      </w:r>
      <w:r>
        <w:rPr/>
        <w:t>Two processes approved.</w:t>
      </w:r>
    </w:p>
    <w:p>
      <w:pPr>
        <w:pStyle w:val="Normal"/>
        <w:spacing w:before="0" w:after="200"/>
        <w:rPr/>
      </w:pPr>
      <w:r>
        <w:rPr>
          <w:b/>
          <w:bCs/>
        </w:rPr>
        <w:t xml:space="preserve">Decision: </w:t>
      </w:r>
      <w:r>
        <w:rPr/>
        <w:t>CR-EVENTS sub-domain has two processes: CR-EVENTS-MANAGE and CR-EVENTS-CONVERT.</w:t>
      </w:r>
    </w:p>
    <w:p>
      <w:pPr>
        <w:pStyle w:val="Normal"/>
        <w:spacing w:before="0" w:after="200"/>
        <w:rPr/>
      </w:pPr>
      <w:r>
        <w:rPr>
          <w:b/>
          <w:bCs/>
          <w:sz w:val="24"/>
          <w:szCs w:val="24"/>
        </w:rPr>
        <w:t>Process Inventory — CR-REACTIVATE</w:t>
      </w:r>
    </w:p>
    <w:p>
      <w:pPr>
        <w:pStyle w:val="Normal"/>
        <w:spacing w:before="0" w:after="200"/>
        <w:rPr/>
      </w:pPr>
      <w:r>
        <w:rPr>
          <w:b/>
          <w:bCs/>
        </w:rPr>
        <w:t xml:space="preserve">Q: </w:t>
      </w:r>
      <w:r>
        <w:rPr/>
        <w:t>The different reactivation target populations (former clients, incomplete applications, unconverted event attendees, past inquiries) share a common operational pattern. Proposed: one process, CR-REACTIVATE-OUTREACH, covering all source categories. The different populations are segments within the same workflow. One process or split?</w:t>
      </w:r>
    </w:p>
    <w:p>
      <w:pPr>
        <w:pStyle w:val="Normal"/>
        <w:spacing w:before="0" w:after="200"/>
        <w:rPr/>
      </w:pPr>
      <w:r>
        <w:rPr>
          <w:b/>
          <w:bCs/>
        </w:rPr>
        <w:t xml:space="preserve">A: </w:t>
      </w:r>
      <w:r>
        <w:rPr/>
        <w:t>One process approved.</w:t>
      </w:r>
    </w:p>
    <w:p>
      <w:pPr>
        <w:pStyle w:val="Normal"/>
        <w:spacing w:before="0" w:after="200"/>
        <w:rPr/>
      </w:pPr>
      <w:r>
        <w:rPr>
          <w:b/>
          <w:bCs/>
        </w:rPr>
        <w:t xml:space="preserve">Decision: </w:t>
      </w:r>
      <w:r>
        <w:rPr/>
        <w:t>CR-REACTIVATE sub-domain has one process: CR-REACTIVATE-OUTREACH.</w:t>
      </w:r>
    </w:p>
    <w:p>
      <w:pPr>
        <w:pStyle w:val="Normal"/>
        <w:spacing w:before="0" w:after="200"/>
        <w:rPr/>
      </w:pPr>
      <w:r>
        <w:rPr>
          <w:b/>
          <w:bCs/>
          <w:sz w:val="24"/>
          <w:szCs w:val="24"/>
        </w:rPr>
        <w:t>Dependency Ordering</w:t>
      </w:r>
    </w:p>
    <w:p>
      <w:pPr>
        <w:pStyle w:val="Normal"/>
        <w:spacing w:before="0" w:after="200"/>
        <w:rPr/>
      </w:pPr>
      <w:r>
        <w:rPr>
          <w:b/>
          <w:bCs/>
        </w:rPr>
        <w:t xml:space="preserve">Q: </w:t>
      </w:r>
      <w:r>
        <w:rPr/>
        <w:t>Proposed production order: CR-PARTNER first (Core tier, partner records referenced by all other sub-domains), then CR-MARKETING (establishes prospect contact patterns), then CR-EVENTS (references partner records, creates attendee data), then CR-REACTIVATE last (receives from all three other sub-domains). Does that ordering work?</w:t>
      </w:r>
    </w:p>
    <w:p>
      <w:pPr>
        <w:pStyle w:val="Normal"/>
        <w:spacing w:before="0" w:after="200"/>
        <w:rPr/>
      </w:pPr>
      <w:r>
        <w:rPr>
          <w:b/>
          <w:bCs/>
        </w:rPr>
        <w:t xml:space="preserve">A: </w:t>
      </w:r>
      <w:r>
        <w:rPr/>
        <w:t>Approved.</w:t>
      </w:r>
    </w:p>
    <w:p>
      <w:pPr>
        <w:pStyle w:val="Normal"/>
        <w:spacing w:before="0" w:after="200"/>
        <w:rPr/>
      </w:pPr>
      <w:r>
        <w:rPr>
          <w:b/>
          <w:bCs/>
        </w:rPr>
        <w:t xml:space="preserve">Decision: </w:t>
      </w:r>
      <w:r>
        <w:rPr/>
        <w:t>Production order confirmed as proposed: 1) CR-PARTNER-PROSPECT, 2) CR-PARTNER-MANAGE, 3) CR-MARKETING-CONTACTS, 4) CR-MARKETING-CAMPAIGNS, 5) CR-EVENTS-MANAGE, 6) CR-EVENTS-CONVERT, 7) CR-REACTIVATE-OUTREACH.</w:t>
      </w:r>
    </w:p>
    <w:p>
      <w:pPr>
        <w:pStyle w:val="Normal"/>
        <w:spacing w:before="0" w:after="200"/>
        <w:rPr/>
      </w:pPr>
      <w:r>
        <w:rPr>
          <w:b/>
          <w:bCs/>
          <w:sz w:val="24"/>
          <w:szCs w:val="24"/>
        </w:rPr>
        <w:t>Cross-Sub-Domain Handoffs</w:t>
      </w:r>
    </w:p>
    <w:p>
      <w:pPr>
        <w:pStyle w:val="Normal"/>
        <w:spacing w:before="0" w:after="200"/>
        <w:rPr/>
      </w:pPr>
      <w:r>
        <w:rPr>
          <w:b/>
          <w:bCs/>
        </w:rPr>
        <w:t xml:space="preserve">Q: </w:t>
      </w:r>
      <w:r>
        <w:rPr/>
        <w:t>Identified six handoff points: CR-PARTNER → CR-EVENTS (co-sponsorship), CR-PARTNER → CR-MARKETING (joint initiatives), CR-PARTNER → MR domain (mentor contributions), CR-EVENTS-CONVERT → CR-REACTIVATE (unconverted attendees), CR-MARKETING-CONTACTS → CR-REACTIVATE (unconverted prospects), and CR (all) → MN-INTAKE (application submission). Any missing?</w:t>
      </w:r>
    </w:p>
    <w:p>
      <w:pPr>
        <w:pStyle w:val="Normal"/>
        <w:spacing w:before="0" w:after="200"/>
        <w:rPr/>
      </w:pPr>
      <w:r>
        <w:rPr>
          <w:b/>
          <w:bCs/>
        </w:rPr>
        <w:t xml:space="preserve">A: </w:t>
      </w:r>
      <w:r>
        <w:rPr/>
        <w:t>Map confirmed as complete.</w:t>
      </w:r>
    </w:p>
    <w:p>
      <w:pPr>
        <w:pStyle w:val="Normal"/>
        <w:spacing w:before="0" w:after="200"/>
        <w:rPr/>
      </w:pPr>
      <w:r>
        <w:rPr>
          <w:b/>
          <w:bCs/>
          <w:sz w:val="24"/>
          <w:szCs w:val="24"/>
        </w:rPr>
        <w:t>CR to MN-INTAKE Boundary</w:t>
      </w:r>
    </w:p>
    <w:p>
      <w:pPr>
        <w:pStyle w:val="Normal"/>
        <w:spacing w:before="0" w:after="200"/>
        <w:rPr/>
      </w:pPr>
      <w:r>
        <w:rPr>
          <w:b/>
          <w:bCs/>
        </w:rPr>
        <w:t xml:space="preserve">Q: </w:t>
      </w:r>
      <w:r>
        <w:rPr/>
        <w:t>Is the application submission the correct boundary between CR and MN? Once submitted, MN-INTAKE owns the lifecycle. CR’s post-submission role is limited to application source attribution. Does CR retain any ongoing role after application submission?</w:t>
      </w:r>
    </w:p>
    <w:p>
      <w:pPr>
        <w:pStyle w:val="Normal"/>
        <w:spacing w:before="0" w:after="200"/>
        <w:rPr/>
      </w:pPr>
      <w:r>
        <w:rPr>
          <w:b/>
          <w:bCs/>
        </w:rPr>
        <w:t xml:space="preserve">A: </w:t>
      </w:r>
      <w:r>
        <w:rPr/>
        <w:t>That is the correct handoff boundary.</w:t>
      </w:r>
    </w:p>
    <w:p>
      <w:pPr>
        <w:pStyle w:val="Normal"/>
        <w:spacing w:before="0" w:after="200"/>
        <w:rPr/>
      </w:pPr>
      <w:r>
        <w:rPr>
          <w:b/>
          <w:bCs/>
        </w:rPr>
        <w:t xml:space="preserve">Decision: </w:t>
      </w:r>
      <w:r>
        <w:rPr/>
        <w:t>Application submission is the definitive boundary between CR and MN domains. CR retains no role post-submission except source attribution.</w:t>
      </w:r>
    </w:p>
    <w:p>
      <w:pPr>
        <w:pStyle w:val="Normal"/>
        <w:spacing w:before="0" w:after="200"/>
        <w:rPr/>
      </w:pPr>
      <w:r>
        <w:rPr>
          <w:b/>
          <w:bCs/>
          <w:sz w:val="24"/>
          <w:szCs w:val="24"/>
        </w:rPr>
        <w:t>Shared Audience Strategy and Consolidated Oversight</w:t>
      </w:r>
    </w:p>
    <w:p>
      <w:pPr>
        <w:pStyle w:val="Normal"/>
        <w:spacing w:before="0" w:after="200"/>
        <w:rPr/>
      </w:pPr>
      <w:r>
        <w:rPr>
          <w:b/>
          <w:bCs/>
        </w:rPr>
        <w:t xml:space="preserve">Q: </w:t>
      </w:r>
      <w:r>
        <w:rPr/>
        <w:t>Consolidated oversight proposed as three functions: channel effectiveness comparison (application source attribution), outreach coordination (preventing duplicate/conflicting outreach), and gap targeting (orienting all sub-domains toward underrepresented geographies, industries, or business stages). Accurate?</w:t>
      </w:r>
    </w:p>
    <w:p>
      <w:pPr>
        <w:pStyle w:val="Normal"/>
        <w:spacing w:before="0" w:after="200"/>
        <w:rPr/>
      </w:pPr>
      <w:r>
        <w:rPr>
          <w:b/>
          <w:bCs/>
        </w:rPr>
        <w:t xml:space="preserve">A: </w:t>
      </w:r>
      <w:r>
        <w:rPr/>
        <w:t>Confirmed as complete.</w:t>
      </w:r>
    </w:p>
    <w:p>
      <w:pPr>
        <w:pStyle w:val="Normal"/>
        <w:spacing w:before="0" w:after="200"/>
        <w:rPr/>
      </w:pPr>
      <w:r>
        <w:rPr>
          <w:b/>
          <w:bCs/>
          <w:sz w:val="24"/>
          <w:szCs w:val="24"/>
        </w:rPr>
        <w:t>Partner Cross-Sub-Domain Tracking</w:t>
      </w:r>
    </w:p>
    <w:p>
      <w:pPr>
        <w:pStyle w:val="Normal"/>
        <w:spacing w:before="0" w:after="200"/>
        <w:rPr/>
      </w:pPr>
      <w:r>
        <w:rPr>
          <w:b/>
          <w:bCs/>
        </w:rPr>
        <w:t xml:space="preserve">Q: </w:t>
      </w:r>
      <w:r>
        <w:rPr/>
        <w:t>Partner organization record is owned by CR-PARTNER. Other sub-domains reference it through relationships on their own records (events link to partners, contacts link to partner accounts). Partner analytics are roll-up views assembled from cross-entity relationships. Should partner involvement in other sub-domains be formalized differently?</w:t>
      </w:r>
    </w:p>
    <w:p>
      <w:pPr>
        <w:pStyle w:val="Normal"/>
        <w:spacing w:before="0" w:after="200"/>
        <w:rPr/>
      </w:pPr>
      <w:r>
        <w:rPr>
          <w:b/>
          <w:bCs/>
        </w:rPr>
        <w:t xml:space="preserve">A: </w:t>
      </w:r>
      <w:r>
        <w:rPr/>
        <w:t>Confirmed. Reference approach accepted.</w:t>
      </w:r>
    </w:p>
    <w:p>
      <w:pPr>
        <w:pStyle w:val="Normal"/>
        <w:spacing w:before="0" w:after="200"/>
        <w:rPr/>
      </w:pPr>
      <w:r>
        <w:rPr>
          <w:b/>
          <w:bCs/>
          <w:sz w:val="24"/>
          <w:szCs w:val="24"/>
        </w:rPr>
        <w:t>Deferred Entity Fields</w:t>
      </w:r>
    </w:p>
    <w:p>
      <w:pPr>
        <w:pStyle w:val="Normal"/>
        <w:spacing w:before="0" w:after="200"/>
        <w:rPr/>
      </w:pPr>
      <w:r>
        <w:rPr>
          <w:b/>
          <w:bCs/>
        </w:rPr>
        <w:t xml:space="preserve">Q: </w:t>
      </w:r>
      <w:r>
        <w:rPr/>
        <w:t>Anticipated CR additions to Contact entity: client lifecycle field, partner lifecycle field, partner-specific custom fields, presenter-specific fields, member-specific fields, How Did You Hear About CBM values. Anticipated Account additions: client lifecycle field, geographic service area format resolution, additional partner-specific fields. Three new entities deferred (Partnership Agreement, Event, Event Registration). Does that capture the anticipated field landscape?</w:t>
      </w:r>
    </w:p>
    <w:p>
      <w:pPr>
        <w:pStyle w:val="Normal"/>
        <w:spacing w:before="0" w:after="200"/>
        <w:rPr/>
      </w:pPr>
      <w:r>
        <w:rPr>
          <w:b/>
          <w:bCs/>
        </w:rPr>
        <w:t xml:space="preserve">A: </w:t>
      </w:r>
      <w:r>
        <w:rPr/>
        <w:t>Confirmed as complete.</w:t>
      </w:r>
    </w:p>
    <w:p>
      <w:pPr>
        <w:pStyle w:val="Normal"/>
        <w:spacing w:before="0" w:after="200"/>
        <w:rPr/>
      </w:pPr>
      <w:r>
        <w:rPr>
          <w:b/>
          <w:bCs/>
          <w:sz w:val="24"/>
          <w:szCs w:val="24"/>
        </w:rPr>
        <w:t>Persona Scoping Confirmation</w:t>
      </w:r>
    </w:p>
    <w:p>
      <w:pPr>
        <w:pStyle w:val="Normal"/>
        <w:spacing w:before="0" w:after="200"/>
        <w:rPr/>
      </w:pPr>
      <w:r>
        <w:rPr>
          <w:b/>
          <w:bCs/>
        </w:rPr>
        <w:t xml:space="preserve">Q: </w:t>
      </w:r>
      <w:r>
        <w:rPr/>
        <w:t>Final persona scoping presented for confirmation: 7 personas with domain-specific roles. One Master PRD update identified (add MST-PER-013). Ready to produce document?</w:t>
      </w:r>
    </w:p>
    <w:p>
      <w:pPr>
        <w:pStyle w:val="Normal"/>
        <w:spacing w:before="0" w:after="200"/>
        <w:rPr/>
      </w:pPr>
      <w:r>
        <w:rPr>
          <w:b/>
          <w:bCs/>
        </w:rPr>
        <w:t xml:space="preserve">A: </w:t>
      </w:r>
      <w:r>
        <w:rPr/>
        <w:t>Confirmed. Ready to produce.</w:t>
      </w:r>
    </w:p>
    <w:p>
      <w:pPr>
        <w:pStyle w:val="Heading1"/>
        <w:spacing w:before="240" w:after="200"/>
        <w:rPr/>
      </w:pPr>
      <w:r>
        <w:rPr/>
        <w:t>8. Change Log</w:t>
      </w:r>
    </w:p>
    <w:p>
      <w:pPr>
        <w:pStyle w:val="Normal"/>
        <w:spacing w:before="0" w:after="200"/>
        <w:rPr/>
      </w:pPr>
      <w:r>
        <w:rPr/>
        <w:t>Revision history for this document. The Last Updated value in the metadata table reflects the most recent entry below.</w:t>
      </w:r>
    </w:p>
    <w:tbl>
      <w:tblPr>
        <w:tblW w:w="9360" w:type="dxa"/>
        <w:jc w:val="left"/>
        <w:tblInd w:w="0" w:type="dxa"/>
        <w:tblLayout w:type="fixed"/>
        <w:tblCellMar>
          <w:top w:w="80" w:type="dxa"/>
          <w:left w:w="120" w:type="dxa"/>
          <w:bottom w:w="80" w:type="dxa"/>
          <w:right w:w="120" w:type="dxa"/>
        </w:tblCellMar>
      </w:tblPr>
      <w:tblGrid>
        <w:gridCol w:w="1200"/>
        <w:gridCol w:w="1700"/>
        <w:gridCol w:w="6460"/>
      </w:tblGrid>
      <w:tr>
        <w:trPr/>
        <w:tc>
          <w:tcPr>
            <w:tcW w:w="1200" w:type="dxa"/>
            <w:tcBorders>
              <w:top w:val="single" w:sz="2" w:space="0" w:color="CCCCCC"/>
              <w:left w:val="single" w:sz="2" w:space="0" w:color="CCCCCC"/>
              <w:bottom w:val="single" w:sz="2" w:space="0" w:color="CCCCCC"/>
              <w:right w:val="single" w:sz="2" w:space="0" w:color="CCCCCC"/>
            </w:tcBorders>
            <w:shd w:fill="D5E8F0" w:val="clear"/>
          </w:tcPr>
          <w:p>
            <w:r>
              <w:rPr>
                <w:b/>
                <w:bCs/>
                <w:sz w:val="22"/>
                <w:szCs w:val="22"/>
              </w:rPr>
              <w:t>Version</w:t>
            </w:r>
          </w:p>
        </w:tc>
        <w:tc>
          <w:tcPr>
            <w:tcW w:w="1700" w:type="dxa"/>
            <w:tcBorders>
              <w:top w:val="single" w:sz="2" w:space="0" w:color="CCCCCC"/>
              <w:left w:val="single" w:sz="2" w:space="0" w:color="CCCCCC"/>
              <w:bottom w:val="single" w:sz="2" w:space="0" w:color="CCCCCC"/>
              <w:right w:val="single" w:sz="2" w:space="0" w:color="CCCCCC"/>
            </w:tcBorders>
            <w:shd w:fill="D5E8F0" w:val="clear"/>
          </w:tcPr>
          <w:p>
            <w:r>
              <w:rPr>
                <w:b/>
                <w:bCs/>
                <w:sz w:val="22"/>
                <w:szCs w:val="22"/>
              </w:rPr>
              <w:t>Date</w:t>
            </w:r>
          </w:p>
        </w:tc>
        <w:tc>
          <w:tcPr>
            <w:tcW w:w="6460" w:type="dxa"/>
            <w:tcBorders>
              <w:top w:val="single" w:sz="2" w:space="0" w:color="CCCCCC"/>
              <w:left w:val="single" w:sz="2" w:space="0" w:color="CCCCCC"/>
              <w:bottom w:val="single" w:sz="2" w:space="0" w:color="CCCCCC"/>
              <w:right w:val="single" w:sz="2" w:space="0" w:color="CCCCCC"/>
            </w:tcBorders>
            <w:shd w:fill="D5E8F0" w:val="clear"/>
          </w:tcPr>
          <w:p>
            <w:r>
              <w:rPr>
                <w:b/>
                <w:bCs/>
                <w:sz w:val="22"/>
                <w:szCs w:val="22"/>
              </w:rPr>
              <w:t>Changes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1.5</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05-29-26 16:30</w:t>
            </w:r>
          </w:p>
        </w:tc>
        <w:tc>
          <w:tcPr>
            <w:tcW w:type="dxa" w:w="6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Registered CR-RESOURCES as the fifth Client Recruiting sub-domain (four → five): added the sub-domain table row, the CR-RESOURCES-MANAGE process-inventory row, the 3.6 CR-RESOURCES subsection (subsequent 3.x subsections renumbered), and the Resource entity in the Section 4 entity summary. Reflects the event-publishing/discovery and Resources-page changes.</w:t>
            </w:r>
          </w:p>
        </w:tc>
      </w:tr>
      <w:tr>
        <w:trPr/>
        <w:tc>
          <w:tcPr>
            <w:tcW w:w="1200" w:type="dxa"/>
            <w:tcBorders>
              <w:top w:val="single" w:sz="2" w:space="0" w:color="CCCCCC"/>
              <w:left w:val="single" w:sz="2" w:space="0" w:color="CCCCCC"/>
              <w:bottom w:val="single" w:sz="2" w:space="0" w:color="CCCCCC"/>
              <w:right w:val="single" w:sz="2" w:space="0" w:color="CCCCCC"/>
            </w:tcBorders>
          </w:tcPr>
          <w:p>
            <w:r>
              <w:rPr>
                <w:b/>
              </w:rPr>
              <w:t>1.4</w:t>
            </w:r>
          </w:p>
        </w:tc>
        <w:tc>
          <w:tcPr>
            <w:tcW w:w="1700" w:type="dxa"/>
            <w:tcBorders>
              <w:top w:val="single" w:sz="2" w:space="0" w:color="CCCCCC"/>
              <w:left w:val="single" w:sz="2" w:space="0" w:color="CCCCCC"/>
              <w:bottom w:val="single" w:sz="2" w:space="0" w:color="CCCCCC"/>
              <w:right w:val="single" w:sz="2" w:space="0" w:color="CCCCCC"/>
            </w:tcBorders>
          </w:tcPr>
          <w:p>
            <w:r>
              <w:rPr/>
              <w:t>04-30-26 04:58</w:t>
            </w:r>
          </w:p>
        </w:tc>
        <w:tc>
          <w:tcPr>
            <w:tcW w:w="6460" w:type="dxa"/>
            <w:tcBorders>
              <w:top w:val="single" w:sz="2" w:space="0" w:color="CCCCCC"/>
              <w:left w:val="single" w:sz="2" w:space="0" w:color="CCCCCC"/>
              <w:bottom w:val="single" w:sz="2" w:space="0" w:color="CCCCCC"/>
              <w:right w:val="single" w:sz="2" w:space="0" w:color="CCCCCC"/>
            </w:tcBorders>
          </w:tcPr>
          <w:p>
            <w:r>
              <w:rPr/>
              <w:t>Carry-forward from FU-REPORT process definition session, 04-30-26. Section 4 narrative paragraph 'Geographic Service Area format (ACT-ISS-004)' rewritten to reflect ACT-ISS-004 closure and the structured zip code list resolution, used for both Partner service areas and Donor/Sponsor funding territories. Section 6 Open Issues table ACT-ISS-004 row updated to CLOSED status. CR-MARKETING-ISS-001 remains open. Carry-forward request at PRDs/FU/carry-forward/SESSION-PROMPT-carry-forward-account-territory-zipcode-list.md.</w:t>
            </w:r>
          </w:p>
        </w:tc>
      </w:tr>
      <w:tr>
        <w:trPr/>
        <w:tc>
          <w:tcPr>
            <w:tcW w:w="1200" w:type="dxa"/>
            <w:tcBorders>
              <w:top w:val="single" w:sz="2" w:space="0" w:color="CCCCCC"/>
              <w:left w:val="single" w:sz="2" w:space="0" w:color="CCCCCC"/>
              <w:bottom w:val="single" w:sz="2" w:space="0" w:color="CCCCCC"/>
              <w:right w:val="single" w:sz="2" w:space="0" w:color="CCCCCC"/>
            </w:tcBorders>
          </w:tcPr>
          <w:p>
            <w:r>
              <w:rPr>
                <w:b/>
                <w:bCs/>
              </w:rPr>
              <w:t>1.0</w:t>
            </w:r>
          </w:p>
        </w:tc>
        <w:tc>
          <w:tcPr>
            <w:tcW w:w="1700" w:type="dxa"/>
            <w:tcBorders>
              <w:top w:val="single" w:sz="2" w:space="0" w:color="CCCCCC"/>
              <w:left w:val="single" w:sz="2" w:space="0" w:color="CCCCCC"/>
              <w:bottom w:val="single" w:sz="2" w:space="0" w:color="CCCCCC"/>
              <w:right w:val="single" w:sz="2" w:space="0" w:color="CCCCCC"/>
            </w:tcBorders>
          </w:tcPr>
          <w:p>
            <w:r>
              <w:t>04-07-26</w:t>
            </w:r>
          </w:p>
        </w:tc>
        <w:tc>
          <w:tcPr>
            <w:tcW w:w="6460" w:type="dxa"/>
            <w:tcBorders>
              <w:top w:val="single" w:sz="2" w:space="0" w:color="CCCCCC"/>
              <w:left w:val="single" w:sz="2" w:space="0" w:color="CCCCCC"/>
              <w:bottom w:val="single" w:sz="2" w:space="0" w:color="CCCCCC"/>
              <w:right w:val="single" w:sz="2" w:space="0" w:color="CCCCCC"/>
            </w:tcBorders>
          </w:tcPr>
          <w:p>
            <w:r>
              <w:t>Initial CR Domain Overview. Establishes the CR domain purpose, five sub-domains (CR-PARTNER, CR-MARKETING, CR-EVENTS, CR-REACTIVATE), seven processes in dependency order, persona scoping, entity summary, and open-issues carried forward.</w:t>
            </w:r>
          </w:p>
        </w:tc>
      </w:tr>
      <w:tr>
        <w:trPr/>
        <w:tc>
          <w:tcPr>
            <w:tcW w:w="1200" w:type="dxa"/>
            <w:tcBorders>
              <w:top w:val="single" w:sz="2" w:space="0" w:color="CCCCCC"/>
              <w:left w:val="single" w:sz="2" w:space="0" w:color="CCCCCC"/>
              <w:bottom w:val="single" w:sz="2" w:space="0" w:color="CCCCCC"/>
              <w:right w:val="single" w:sz="2" w:space="0" w:color="CCCCCC"/>
            </w:tcBorders>
          </w:tcPr>
          <w:p>
            <w:r>
              <w:rPr>
                <w:b/>
                <w:bCs/>
              </w:rPr>
              <w:t>1.1</w:t>
            </w:r>
          </w:p>
        </w:tc>
        <w:tc>
          <w:tcPr>
            <w:tcW w:w="1700" w:type="dxa"/>
            <w:tcBorders>
              <w:top w:val="single" w:sz="2" w:space="0" w:color="CCCCCC"/>
              <w:left w:val="single" w:sz="2" w:space="0" w:color="CCCCCC"/>
              <w:bottom w:val="single" w:sz="2" w:space="0" w:color="CCCCCC"/>
              <w:right w:val="single" w:sz="2" w:space="0" w:color="CCCCCC"/>
            </w:tcBorders>
          </w:tcPr>
          <w:p>
            <w:r>
              <w:t>04-08-26</w:t>
            </w:r>
          </w:p>
        </w:tc>
        <w:tc>
          <w:tcPr>
            <w:tcW w:w="6460" w:type="dxa"/>
            <w:tcBorders>
              <w:top w:val="single" w:sz="2" w:space="0" w:color="CCCCCC"/>
              <w:left w:val="single" w:sz="2" w:space="0" w:color="CCCCCC"/>
              <w:bottom w:val="single" w:sz="2" w:space="0" w:color="CCCCCC"/>
              <w:right w:val="single" w:sz="2" w:space="0" w:color="CCCCCC"/>
            </w:tcBorders>
          </w:tcPr>
          <w:p>
            <w:r>
              <w:t>CR-MARKETING Sub-Domain Overview v1.0 carry-forward. Depends On list updated to reference new upstream versions. Section 4.7 updated with CON-ISS-001, CON-ISS-008, and ACT-ISS-001 closures and ACT-ISS-004 supersession note. Section 5 expanded with five new carry-forward entries.</w:t>
            </w:r>
          </w:p>
        </w:tc>
      </w:tr>
      <w:tr>
        <w:trPr/>
        <w:tc>
          <w:tcPr>
            <w:tcW w:w="1200" w:type="dxa"/>
            <w:tcBorders>
              <w:top w:val="single" w:sz="2" w:space="0" w:color="CCCCCC"/>
              <w:left w:val="single" w:sz="2" w:space="0" w:color="CCCCCC"/>
              <w:bottom w:val="single" w:sz="2" w:space="0" w:color="CCCCCC"/>
              <w:right w:val="single" w:sz="2" w:space="0" w:color="CCCCCC"/>
            </w:tcBorders>
          </w:tcPr>
          <w:p>
            <w:r>
              <w:rPr>
                <w:b/>
                <w:bCs/>
              </w:rPr>
              <w:t>1.2</w:t>
            </w:r>
          </w:p>
        </w:tc>
        <w:tc>
          <w:tcPr>
            <w:tcW w:w="1700" w:type="dxa"/>
            <w:tcBorders>
              <w:top w:val="single" w:sz="2" w:space="0" w:color="CCCCCC"/>
              <w:left w:val="single" w:sz="2" w:space="0" w:color="CCCCCC"/>
              <w:bottom w:val="single" w:sz="2" w:space="0" w:color="CCCCCC"/>
              <w:right w:val="single" w:sz="2" w:space="0" w:color="CCCCCC"/>
            </w:tcBorders>
          </w:tcPr>
          <w:p>
            <w:r>
              <w:t>04-16-26 01:15</w:t>
            </w:r>
          </w:p>
        </w:tc>
        <w:tc>
          <w:tcPr>
            <w:tcW w:w="6460" w:type="dxa"/>
            <w:tcBorders>
              <w:top w:val="single" w:sz="2" w:space="0" w:color="CCCCCC"/>
              <w:left w:val="single" w:sz="2" w:space="0" w:color="CCCCCC"/>
              <w:bottom w:val="single" w:sz="2" w:space="0" w:color="CCCCCC"/>
              <w:right w:val="single" w:sz="2" w:space="0" w:color="CCCCCC"/>
            </w:tcBorders>
          </w:tcPr>
          <w:p>
            <w:r>
              <w:t>CR-EVENTS Sub-Domain Overview v1.0 carry-forward. Added CR-EVENTS-ISS-001 (event feedback surveys deferred) to the open issues carried forward table.</w:t>
            </w:r>
          </w:p>
        </w:tc>
      </w:tr>
      <w:tr>
        <w:trPr/>
        <w:tc>
          <w:tcPr>
            <w:tcW w:w="1200" w:type="dxa"/>
            <w:tcBorders>
              <w:top w:val="single" w:sz="2" w:space="0" w:color="CCCCCC"/>
              <w:left w:val="single" w:sz="2" w:space="0" w:color="CCCCCC"/>
              <w:bottom w:val="single" w:sz="2" w:space="0" w:color="CCCCCC"/>
              <w:right w:val="single" w:sz="2" w:space="0" w:color="CCCCCC"/>
            </w:tcBorders>
          </w:tcPr>
          <w:p>
            <w:r>
              <w:rPr>
                <w:b/>
                <w:bCs/>
              </w:rPr>
              <w:t>1.3</w:t>
            </w:r>
          </w:p>
        </w:tc>
        <w:tc>
          <w:tcPr>
            <w:tcW w:w="1700" w:type="dxa"/>
            <w:tcBorders>
              <w:top w:val="single" w:sz="2" w:space="0" w:color="CCCCCC"/>
              <w:left w:val="single" w:sz="2" w:space="0" w:color="CCCCCC"/>
              <w:bottom w:val="single" w:sz="2" w:space="0" w:color="CCCCCC"/>
              <w:right w:val="single" w:sz="2" w:space="0" w:color="CCCCCC"/>
            </w:tcBorders>
          </w:tcPr>
          <w:p>
            <w:r>
              <w:t>04-20-26 15:17</w:t>
            </w:r>
          </w:p>
        </w:tc>
        <w:tc>
          <w:tcPr>
            <w:tcW w:w="6460" w:type="dxa"/>
            <w:tcBorders>
              <w:top w:val="single" w:sz="2" w:space="0" w:color="CCCCCC"/>
              <w:left w:val="single" w:sz="2" w:space="0" w:color="CCCCCC"/>
              <w:bottom w:val="single" w:sz="2" w:space="0" w:color="CCCCCC"/>
              <w:right w:val="single" w:sz="2" w:space="0" w:color="CCCCCC"/>
            </w:tcBorders>
          </w:tcPr>
          <w:p>
            <w:r>
              <w:t>MR Phase 9 follow-up carry-forward (MR-Y9-EXC-005). Section 4.7 CON-ISS-008 description rewritten to reflect the 8-value howDidYouHearAboutCbm list with revised channel rollup and reactivation-via-Campaign-tracking note, citing Contact Entity PRD v1.6 as the source of record. Section 4.2 and Section 4.3 narrative updated to reference Contact Entity PRD v1.6 and Account Entity PRD v1.6; specific native/custom field counts replaced with durable language. Three new rows appended to Section 5 Updates to Prior Documents capturing Contact Entity PRD v1.5 to v1.6, Account Entity PRD v1.5 to v1.6, and CR-MARKETING SDO v1.2 to v1.3 updates. Depends On bumped to Entity Inventory v1.5, Contact Entity PRD v1.6, Account Entity PRD v1.6.</w:t>
            </w:r>
          </w:p>
        </w:tc>
      </w:tr>
    </w:tbl>
    <w:p>
      <w:pPr>
        <w:pStyle w:val="Normal"/>
        <w:spacing w:before="0" w:after="200"/>
        <w:rPr/>
      </w:p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sz w:val="32"/>
      <w:szCs w:val="32"/>
    </w:rPr>
  </w:style>
  <w:style w:type="paragraph" w:styleId="Heading2">
    <w:name w:val="Heading 2"/>
    <w:basedOn w:val="Heading"/>
    <w:qFormat/>
    <w:pPr>
      <w:spacing w:before="240" w:after="180"/>
      <w:outlineLvl w:val="1"/>
    </w:pPr>
    <w:rPr>
      <w:rFonts w:ascii="Arial" w:hAnsi="Arial" w:eastAsia="Arial" w:cs="Arial"/>
      <w:b/>
      <w:bCs/>
      <w:sz w:val="28"/>
      <w:szCs w:val="28"/>
    </w:rPr>
  </w:style>
  <w:style w:type="paragraph" w:styleId="Heading3">
    <w:name w:val="Heading 3"/>
    <w:basedOn w:val="Heading"/>
    <w:qFormat/>
    <w:pPr>
      <w:spacing w:before="200" w:after="16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14</Pages>
  <Words>3907</Words>
  <Characters>26532</Characters>
  <CharactersWithSpaces>30171</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2026-04-05T15:45:46Z</dcterms:created>
  <dc:creator>Un-named</dc:creator>
  <dc:description/>
  <dc:language>en-US</dc:language>
  <cp:lastModifiedBy/>
  <dcterms:modified xsi:type="dcterms:W3CDTF">2026-04-06T14:43:47Z</dcterms:modified>
  <cp:revision>2</cp:revision>
  <dc:subject/>
  <dc:title/>
</cp:coreProperties>
</file>