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6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8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Document</w:t>
            </w:r>
          </w:p>
        </w:tc>
        <w:tc>
          <w:tcPr>
            <w:tcW w:type="dxa" w:w="6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EspoCRM How To Guide</w:t>
            </w:r>
          </w:p>
        </w:tc>
      </w:tr>
      <w:tr>
        <w:tc>
          <w:tcPr>
            <w:tcW w:type="dxa" w:w="28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Owner</w:t>
            </w:r>
          </w:p>
        </w:tc>
        <w:tc>
          <w:tcPr>
            <w:tcW w:type="dxa" w:w="6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Cleveland Business Mentors</w:t>
            </w:r>
          </w:p>
        </w:tc>
      </w:tr>
      <w:tr>
        <w:tc>
          <w:tcPr>
            <w:tcW w:type="dxa" w:w="28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Version</w:t>
            </w:r>
          </w:p>
        </w:tc>
        <w:tc>
          <w:tcPr>
            <w:tcW w:type="dxa" w:w="6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1.2</w:t>
            </w:r>
          </w:p>
        </w:tc>
      </w:tr>
      <w:tr>
        <w:tc>
          <w:tcPr>
            <w:tcW w:type="dxa" w:w="28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Last Updated</w:t>
            </w:r>
          </w:p>
        </w:tc>
        <w:tc>
          <w:tcPr>
            <w:tcW w:type="dxa" w:w="6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05-10-26 04:27</w:t>
            </w:r>
          </w:p>
        </w:tc>
      </w:tr>
    </w:tbl>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Entity Types</w:t>
      </w:r>
    </w:p>
    <w:p>
      <w:r>
        <w:t xml:space="preserve"/>
      </w:r>
    </w:p>
    <w:p>
      <w:pPr>
        <w:spacing w:after="120"/>
      </w:pPr>
      <w:r>
        <w:rPr>
          <w:rFonts w:ascii="Arial" w:cs="Arial" w:eastAsia="Arial" w:hAnsi="Arial"/>
          <w:sz w:val="22"/>
          <w:szCs w:val="22"/>
        </w:rPr>
        <w:t xml:space="preserve">When you create a custom entity, EspoCRM requires you to select an Entity Type (referred to internally as a "template"). This choice determines the default fields the entity will have, which built-in side panels appear on the detail view, whether the entity supports calendar display, and how name fields are structured. The Entity Type is a structural decision made at creation time. Changing it afterward requires manual edits to PHP class definitions and JSON metadata files on the server — it cannot be done through the Admin UI. Choose carefully before saving.</w:t>
      </w:r>
    </w:p>
    <w:p>
      <w:r>
        <w:t xml:space="preserve"/>
      </w:r>
    </w:p>
    <w:p>
      <w:pPr>
        <w:spacing w:after="120"/>
      </w:pPr>
      <w:r>
        <w:rPr>
          <w:rFonts w:ascii="Arial" w:cs="Arial" w:eastAsia="Arial" w:hAnsi="Arial"/>
          <w:b/>
          <w:bCs/>
          <w:sz w:val="22"/>
          <w:szCs w:val="22"/>
        </w:rPr>
        <w:t xml:space="preserve">Available Entity Types: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060"/>
        <w:gridCol w:w="2800"/>
      </w:tblGrid>
      <w:tr>
        <w:tc>
          <w:tcPr>
            <w:tcW w:type="dxa" w:w="15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50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You Get</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Best For</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Standard system fields only (Name, Description, Assigned User, Teams). No activity panels, no calendar integration.</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Lookup tables and simple reference data.</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Plus</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features plus the Activities, History, and Tasks side panels. Records can have Meetings, Calls, Tasks, and Emails logged against them.</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Most custom tracking entities (e.g., Engagement, Application).</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Person</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Plus features plus split name fields (Salutation, First Name, Middle Name, Last Name), Email, Phone, and Address. Records are flagged as containing personal data, which enables email-history matching by email address.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Any entity representing a human (Mentor, Mentee, Sponsor).</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Company</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Plus features plus organization-style Name field, Email, Phone, Billing Address, and Shipping Address.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Any entity representing an organization (Partner Company, Sponsor Organization).</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Event</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Plus features plus Date Start, Date End, Duration, Parent, and Status fields. Records appear on the EspoCRM Calendar.</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Sessions, webinars, and other scheduled activities.</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Category Tree</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Hierarchical parent-child structure with tree navigation in the UI.</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Nested category lists (e.g., topic taxonomies).</w:t>
            </w:r>
          </w:p>
        </w:tc>
      </w:tr>
    </w:tbl>
    <w:p>
      <w:r>
        <w:t xml:space="preserve"/>
      </w:r>
    </w:p>
    <w:p>
      <w:r>
        <w:t xml:space="preserve"/>
      </w:r>
    </w:p>
    <w:p>
      <w:pPr>
        <w:spacing w:after="120"/>
      </w:pPr>
      <w:r>
        <w:rPr>
          <w:rFonts w:ascii="Arial" w:cs="Arial" w:eastAsia="Arial" w:hAnsi="Arial"/>
          <w:b/>
          <w:bCs/>
          <w:sz w:val="22"/>
          <w:szCs w:val="22"/>
        </w:rPr>
        <w:t xml:space="preserve">Why the Choice Matters:</w:t>
      </w:r>
    </w:p>
    <w:p>
      <w:r>
        <w:t xml:space="preserve"/>
      </w:r>
    </w:p>
    <w:p>
      <w:pPr>
        <w:spacing w:after="120"/>
      </w:pPr>
      <w:r>
        <w:rPr>
          <w:rFonts w:ascii="Arial" w:cs="Arial" w:eastAsia="Arial" w:hAnsi="Arial"/>
          <w:sz w:val="22"/>
          <w:szCs w:val="22"/>
        </w:rPr>
        <w:t xml:space="preserve">EspoCRM’s Admin UI does not provide a way to change the type of an existing entity. Converting an entity from one type to another after creation requires manual edits to PHP class definitions, JSON metadata files, and scope configuration on the server. In practice, the entity type should be treated as immutable once any record exists. If the wrong type is selected and discovered before records are entered, the cleanest path is to delete the entity and recreate it with the correct type.</w:t>
      </w:r>
    </w:p>
    <w:p>
      <w:r>
        <w:t xml:space="preserve"/>
      </w:r>
    </w:p>
    <w:p>
      <w:pPr>
        <w:spacing w:after="120"/>
      </w:pPr>
      <w:r>
        <w:rPr>
          <w:rFonts w:ascii="Arial" w:cs="Arial" w:eastAsia="Arial" w:hAnsi="Arial"/>
          <w:b/>
          <w:bCs/>
          <w:sz w:val="22"/>
          <w:szCs w:val="22"/>
        </w:rPr>
        <w:t xml:space="preserve">Recommended Types for CBM Use Cases: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3860"/>
      </w:tblGrid>
      <w:tr>
        <w:tc>
          <w:tcPr>
            <w:tcW w:type="dxa" w:w="55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Use Case</w:t>
            </w:r>
          </w:p>
        </w:tc>
        <w:tc>
          <w:tcPr>
            <w:tcW w:type="dxa" w:w="38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Recommended Type</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Person record (Mentor, Mentee, Sponsor, etc.)</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Person</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Organization record (Partner Company, Sponsor Organization)</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Company</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Scheduled session, meeting, or webinar</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Event</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Tracking record with activity logging (Engagement, Application)</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Plus</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Simple lookup or reference data (Industry list, Skill list)</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Hierarchical category list (topic taxonomy)</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Category Tree</w:t>
            </w:r>
          </w:p>
        </w:tc>
      </w:tr>
    </w:tbl>
    <w:p>
      <w:r>
        <w:t xml:space="preserve"/>
      </w:r>
    </w:p>
    <w:p>
      <w:r>
        <w:t xml:space="preserve"/>
      </w:r>
    </w:p>
    <w:p>
      <w:pPr>
        <w:pStyle w:val="Heading3"/>
      </w:pPr>
      <w:r>
        <w:rPr>
          <w:rFonts w:ascii="Arial" w:cs="Arial" w:eastAsia="Arial" w:hAnsi="Arial"/>
          <w:b/>
          <w:bCs/>
          <w:color w:val="595959"/>
          <w:sz w:val="24"/>
          <w:szCs w:val="24"/>
        </w:rPr>
        <w:t xml:space="preserve">1.3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Determines the structural template for the entity (default fields, side panels, calendar integration). See Section 1.2 for a full discussion of the available types and how to choose. The type cannot be changed through the UI after creation.</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1.4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plain text (notes, descriptions). Renders as a multi-line textarea that expands to show full content.</w:t>
      </w:r>
    </w:p>
    <w:p>
      <w:pPr>
        <w:pStyle w:val="ListParagraph"/>
        <w:numPr>
          <w:ilvl w:val="0"/>
          <w:numId w:val="2"/>
        </w:numPr>
        <w:spacing w:after="80"/>
      </w:pPr>
      <w:r>
        <w:rPr>
          <w:rFonts w:ascii="Arial" w:cs="Arial" w:eastAsia="Arial" w:hAnsi="Arial"/>
          <w:sz w:val="22"/>
          <w:szCs w:val="22"/>
        </w:rPr>
        <w:t xml:space="preserve">Wysiwyg — rich text editor with formatting toolbar (bold, italic, lists, links, etc.). Renders formatted HTML output in the detail view, making notes and descriptions more readable. Best choice when users need to format content. Note: data is stored internally as HTML, so exported or programmatically accessed data will include HTML markup.</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1.5 Setting an Enum Default Value Based on Another Field (Dynamic Handler)</w:t>
      </w:r>
    </w:p>
    <w:p>
      <w:pPr>
        <w:spacing w:after="120"/>
      </w:pPr>
      <w:r>
        <w:rPr>
          <w:rFonts w:ascii="Arial" w:cs="Arial" w:eastAsia="Arial" w:hAnsi="Arial"/>
          <w:sz w:val="22"/>
          <w:szCs w:val="22"/>
        </w:rPr>
        <w:t xml:space="preserve">EspoCRM does not provide a GUI option to set the default value of an Enum field based on the value of another field. This requires a custom JavaScript Dynamic Handler — a developer-level customization that runs in the browser and responds to field value changes in real time.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This approach requires custom JavaScript development and direct file access to the EspoCRM server. It is not available through the Admin UI. Only proceed if you are comfortable with JavaScript and have server file access.</w:t>
            </w:r>
          </w:p>
        </w:tc>
      </w:tr>
    </w:tbl>
    <w:p>
      <w:r>
        <w:t xml:space="preserve"/>
      </w:r>
    </w:p>
    <w:p>
      <w:pPr>
        <w:pStyle w:val="Heading3"/>
      </w:pPr>
      <w:r>
        <w:rPr>
          <w:rFonts w:ascii="Arial" w:cs="Arial" w:eastAsia="Arial" w:hAnsi="Arial"/>
          <w:b/>
          <w:bCs/>
          <w:color w:val="595959"/>
          <w:sz w:val="24"/>
          <w:szCs w:val="24"/>
        </w:rPr>
        <w:t xml:space="preserve">Step 1 — Create the Dynamic Handler File</w:t>
      </w:r>
    </w:p>
    <w:p>
      <w:pPr>
        <w:spacing w:after="120"/>
      </w:pPr>
      <w:r>
        <w:rPr>
          <w:rFonts w:ascii="Arial" w:cs="Arial" w:eastAsia="Arial" w:hAnsi="Arial"/>
          <w:sz w:val="22"/>
          <w:szCs w:val="22"/>
        </w:rPr>
        <w:t xml:space="preserve">Create the following file on the EspoCRM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client/custom/src/my-dynamic-handler.js</w:t>
            </w:r>
          </w:p>
        </w:tc>
      </w:tr>
    </w:tbl>
    <w:p>
      <w:r>
        <w:t xml:space="preserve"/>
      </w:r>
    </w:p>
    <w:p>
      <w:pPr>
        <w:spacing w:after="120"/>
      </w:pPr>
      <w:r>
        <w:rPr>
          <w:rFonts w:ascii="Arial" w:cs="Arial" w:eastAsia="Arial" w:hAnsi="Arial"/>
          <w:sz w:val="22"/>
          <w:szCs w:val="22"/>
        </w:rPr>
        <w:t xml:space="preserve">Paste the following code into that file, replacing anotherField, targetEnumField, SpecificValue, DefaultValueA, and DefaultValueB with your actual field names and values: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define('custom:my-dynamic-handler', ['dynamic-handler'], (Dep) =&gt; {</w:t>
            </w:r>
          </w:p>
          <w:p>
            <w:r>
              <w:rPr>
                <w:rFonts w:ascii="Courier New" w:cs="Courier New" w:eastAsia="Courier New" w:hAnsi="Courier New"/>
                <w:sz w:val="18"/>
                <w:szCs w:val="18"/>
              </w:rPr>
              <w:t xml:space="preserve">    return class extends Dep {</w:t>
            </w:r>
          </w:p>
          <w:p>
            <w:r>
              <w:rPr>
                <w:rFonts w:ascii="Courier New" w:cs="Courier New" w:eastAsia="Courier New" w:hAnsi="Courier New"/>
                <w:sz w:val="18"/>
                <w:szCs w:val="18"/>
              </w:rPr>
              <w:t xml:space="preserve">        init() {</w:t>
            </w:r>
          </w:p>
          <w:p>
            <w:r>
              <w:rPr>
                <w:rFonts w:ascii="Courier New" w:cs="Courier New" w:eastAsia="Courier New" w:hAnsi="Courier New"/>
                <w:sz w:val="18"/>
                <w:szCs w:val="18"/>
              </w:rPr>
              <w:t xml:space="preserve">            this.controlFields();</w:t>
            </w:r>
          </w:p>
          <w:p>
            <w:r>
              <w:rPr>
                <w:rFonts w:ascii="Courier New" w:cs="Courier New" w:eastAsia="Courier New" w:hAnsi="Courier New"/>
                <w:sz w:val="18"/>
                <w:szCs w:val="18"/>
              </w:rPr>
              <w:t xml:space="preserve">            this.recordView.listenTo(this.model, 'change:anotherField', () =&gt; this.controlFields());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controlFields() {</w:t>
            </w:r>
          </w:p>
          <w:p>
            <w:r>
              <w:rPr>
                <w:rFonts w:ascii="Courier New" w:cs="Courier New" w:eastAsia="Courier New" w:hAnsi="Courier New"/>
                <w:sz w:val="18"/>
                <w:szCs w:val="18"/>
              </w:rPr>
              <w:t xml:space="preserve">            const value = this.recordView.model.get('anotherField');</w:t>
            </w:r>
          </w:p>
          <w:p>
            <w:r>
              <w:rPr>
                <w:rFonts w:ascii="Courier New" w:cs="Courier New" w:eastAsia="Courier New" w:hAnsi="Courier New"/>
                <w:sz w:val="18"/>
                <w:szCs w:val="18"/>
              </w:rPr>
              <w:t xml:space="preserve">            if (value === 'SpecificValue') {</w:t>
            </w:r>
          </w:p>
          <w:p>
            <w:r>
              <w:rPr>
                <w:rFonts w:ascii="Courier New" w:cs="Courier New" w:eastAsia="Courier New" w:hAnsi="Courier New"/>
                <w:sz w:val="18"/>
                <w:szCs w:val="18"/>
              </w:rPr>
              <w:t xml:space="preserve">                this.recordView.setFieldOptionList('targetEnumField', ['DefaultValueA']);</w:t>
            </w:r>
          </w:p>
          <w:p>
            <w:r>
              <w:rPr>
                <w:rFonts w:ascii="Courier New" w:cs="Courier New" w:eastAsia="Courier New" w:hAnsi="Courier New"/>
                <w:sz w:val="18"/>
                <w:szCs w:val="18"/>
              </w:rPr>
              <w:t xml:space="preserve">            } else {</w:t>
            </w:r>
          </w:p>
          <w:p>
            <w:r>
              <w:rPr>
                <w:rFonts w:ascii="Courier New" w:cs="Courier New" w:eastAsia="Courier New" w:hAnsi="Courier New"/>
                <w:sz w:val="18"/>
                <w:szCs w:val="18"/>
              </w:rPr>
              <w:t xml:space="preserve">                this.recordView.setFieldOptionList('targetEnumField', ['DefaultValueB']);</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2 — Link the Handler to the Entity</w:t>
      </w:r>
    </w:p>
    <w:p>
      <w:pPr>
        <w:spacing w:after="120"/>
      </w:pPr>
      <w:r>
        <w:rPr>
          <w:rFonts w:ascii="Arial" w:cs="Arial" w:eastAsia="Arial" w:hAnsi="Arial"/>
          <w:sz w:val="22"/>
          <w:szCs w:val="22"/>
        </w:rPr>
        <w:t xml:space="preserve">Create or edit the entity's client metadata file on the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custom/Espo/Custom/Resources/metadata/clientDefs/YourEntity.json</w:t>
            </w:r>
          </w:p>
        </w:tc>
      </w:tr>
    </w:tbl>
    <w:p>
      <w:r>
        <w:t xml:space="preserve"/>
      </w:r>
    </w:p>
    <w:p>
      <w:pPr>
        <w:spacing w:after="120"/>
      </w:pPr>
      <w:r>
        <w:rPr>
          <w:rFonts w:ascii="Arial" w:cs="Arial" w:eastAsia="Arial" w:hAnsi="Arial"/>
          <w:sz w:val="22"/>
          <w:szCs w:val="22"/>
        </w:rPr>
        <w:t xml:space="preserve">Add the following to that JSON file, replacing YourEntity with your actual entity name: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"dynamicHandler": "custom:my-dynamic-handler"</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3 — Clear Cache and Refresh</w:t>
      </w:r>
    </w:p>
    <w:p>
      <w:pPr>
        <w:spacing w:after="120"/>
      </w:pPr>
      <w:r>
        <w:rPr>
          <w:rFonts w:ascii="Arial" w:cs="Arial" w:eastAsia="Arial" w:hAnsi="Arial"/>
          <w:sz w:val="22"/>
          <w:szCs w:val="22"/>
        </w:rPr>
        <w:t xml:space="preserve">After saving both files, clear the EspoCRM cache and refresh your browser:</w:t>
      </w:r>
    </w:p>
    <w:p>
      <w:r>
        <w:t xml:space="preserve"/>
      </w:r>
    </w:p>
    <w:p>
      <w:pPr>
        <w:pStyle w:val="ListParagraph"/>
        <w:numPr>
          <w:ilvl w:val="0"/>
          <w:numId w:val="3"/>
        </w:numPr>
        <w:spacing w:after="100"/>
      </w:pPr>
      <w:r>
        <w:rPr>
          <w:rFonts w:ascii="Arial" w:cs="Arial" w:eastAsia="Arial" w:hAnsi="Arial"/>
          <w:sz w:val="22"/>
          <w:szCs w:val="22"/>
        </w:rPr>
        <w:t xml:space="preserve">Go to: Admin → Clear Cache.</w:t>
      </w:r>
    </w:p>
    <w:p>
      <w:pPr>
        <w:pStyle w:val="ListParagraph"/>
        <w:numPr>
          <w:ilvl w:val="0"/>
          <w:numId w:val="3"/>
        </w:numPr>
        <w:spacing w:after="100"/>
      </w:pPr>
      <w:r>
        <w:rPr>
          <w:rFonts w:ascii="Arial" w:cs="Arial" w:eastAsia="Arial" w:hAnsi="Arial"/>
          <w:sz w:val="22"/>
          <w:szCs w:val="22"/>
        </w:rPr>
        <w:t xml:space="preserve">Hard-refresh your browser (Ctrl+Shift+R or Cmd+Shift+R).</w:t>
      </w:r>
    </w:p>
    <w:p>
      <w:pPr>
        <w:pStyle w:val="ListParagraph"/>
        <w:numPr>
          <w:ilvl w:val="0"/>
          <w:numId w:val="3"/>
        </w:numPr>
        <w:spacing w:after="100"/>
      </w:pPr>
      <w:r>
        <w:rPr>
          <w:rFonts w:ascii="Arial" w:cs="Arial" w:eastAsia="Arial" w:hAnsi="Arial"/>
          <w:sz w:val="22"/>
          <w:szCs w:val="22"/>
        </w:rPr>
        <w:t xml:space="preserve">Open a record of the target entity and change the controlling field value to confirm the Enum options update correctly.</w:t>
      </w:r>
    </w:p>
    <w:p>
      <w:r>
        <w:t xml:space="preserve"/>
      </w:r>
    </w:p>
    <w:p>
      <w:pPr>
        <w:spacing w:after="120"/>
      </w:pPr>
      <w:r>
        <w:rPr>
          <w:rFonts w:ascii="Arial" w:cs="Arial" w:eastAsia="Arial" w:hAnsi="Arial"/>
          <w:sz w:val="22"/>
          <w:szCs w:val="22"/>
        </w:rPr>
        <w:t xml:space="preserve">Alternatively, Dynamic Logic (Admin → Entity Manager → [Entity] → Dynamic Logic) can be used to show/hide or make fields required based on another field value without custom code — but it cannot set a default Enum value. Use the Dynamic Handler approach when you need full control over which options are available based on another field.</w:t>
      </w:r>
    </w:p>
    <w:p>
      <w:r>
        <w:t xml:space="preserve"/>
      </w:r>
    </w:p>
    <w:p>
      <w:pPr>
        <w:pStyle w:val="Heading3"/>
      </w:pPr>
      <w:r>
        <w:rPr>
          <w:rFonts w:ascii="Arial" w:cs="Arial" w:eastAsia="Arial" w:hAnsi="Arial"/>
          <w:b/>
          <w:bCs/>
          <w:color w:val="595959"/>
          <w:sz w:val="24"/>
          <w:szCs w:val="24"/>
        </w:rPr>
        <w:t xml:space="preserve">1.6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spacing w:after="120"/>
      </w:pPr>
      <w:r>
        <w:rPr>
          <w:rFonts w:ascii="Arial" w:cs="Arial" w:eastAsia="Arial" w:hAnsi="Arial"/>
          <w:sz w:val="22"/>
          <w:szCs w:val="22"/>
        </w:rPr>
        <w:t xml:space="preserve">An important point about how labels cross sides:</w:t>
      </w:r>
    </w:p>
    <w:p>
      <w:pPr>
        <w:pStyle w:val="ListParagraph"/>
        <w:numPr>
          <w:ilvl w:val="0"/>
          <w:numId w:val="2"/>
        </w:numPr>
        <w:spacing w:after="80"/>
      </w:pPr>
      <w:r>
        <w:rPr>
          <w:rFonts w:ascii="Arial" w:cs="Arial" w:eastAsia="Arial" w:hAnsi="Arial"/>
          <w:sz w:val="22"/>
          <w:szCs w:val="22"/>
        </w:rPr>
        <w:t xml:space="preserve">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spacing w:after="80"/>
      </w:pPr>
      <w:r>
        <w:rPr>
          <w:rFonts w:ascii="Arial" w:cs="Arial" w:eastAsia="Arial" w:hAnsi="Arial"/>
          <w:sz w:val="22"/>
          <w:szCs w:val="22"/>
        </w:rPr>
        <w:t xml:space="preserve">The entity on the Right side of the dialog will display the Label defined on the Left side in its UI — for example, the Right entity (Contact) will show the Left-side Label (Engagements) as the title of its related records panel.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Think of it as a cross: each side's label is what the other side shows. Before saving, confirm that both labels make sense from the perspective of the entity that will actually display them.</w:t>
            </w:r>
          </w:p>
        </w:tc>
      </w:tr>
    </w:tbl>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3"/>
      </w:pPr>
      <w:r>
        <w:rPr>
          <w:rFonts w:ascii="Arial" w:cs="Arial" w:eastAsia="Arial" w:hAnsi="Arial"/>
          <w:b/>
          <w:bCs/>
          <w:color w:val="595959"/>
          <w:sz w:val="24"/>
          <w:szCs w:val="24"/>
        </w:rPr>
        <w:t xml:space="preserve">2.8 Foreign Fields — Displaying Linked Entity Data</w:t>
      </w:r>
    </w:p>
    <w:p>
      <w:pPr>
        <w:spacing w:after="120"/>
      </w:pPr>
      <w:r>
        <w:rPr>
          <w:rFonts w:ascii="Arial" w:cs="Arial" w:eastAsia="Arial" w:hAnsi="Arial"/>
          <w:sz w:val="22"/>
          <w:szCs w:val="22"/>
        </w:rPr>
        <w:t xml:space="preserve">A Foreign field displays a value from a related entity by reaching through an existing link (relationship). It is a read-only mirror — the actual data lives on the related record, but it appears on this entity for display, filtering, sorting, and reporting purposes. Foreign fields are the standard way to surface data from a parent or related entity inside list views, search filters, and reports without requiring users to click through to the related record.</w:t>
      </w:r>
    </w:p>
    <w:p>
      <w:r>
        <w:t xml:space="preserve"/>
      </w:r>
    </w:p>
    <w:p>
      <w:pPr>
        <w:pStyle w:val="Heading3"/>
      </w:pPr>
      <w:r>
        <w:rPr>
          <w:rFonts w:ascii="Arial" w:cs="Arial" w:eastAsia="Arial" w:hAnsi="Arial"/>
          <w:b/>
          <w:bCs/>
          <w:color w:val="595959"/>
          <w:sz w:val="24"/>
          <w:szCs w:val="24"/>
        </w:rPr>
        <w:t xml:space="preserve">How Foreign Fields Work</w:t>
      </w:r>
    </w:p>
    <w:p>
      <w:pPr>
        <w:spacing w:after="120"/>
      </w:pPr>
      <w:r>
        <w:rPr>
          <w:rFonts w:ascii="Arial" w:cs="Arial" w:eastAsia="Arial" w:hAnsi="Arial"/>
          <w:sz w:val="22"/>
          <w:szCs w:val="22"/>
        </w:rPr>
        <w:t xml:space="preserve">A Foreign field requires a link (relationship) to already exist. It does not create a relationship; it follows one that has already been defined in the Relationships tab. Once configured, the Foreign field behaves like a regular field: it appears in list views, can be searched and filtered on, and can be referenced in reports and formulas. The displayed value updates when the source record changes or when the host record is linked to a different related record.</w:t>
      </w:r>
    </w:p>
    <w:p>
      <w:pPr>
        <w:spacing w:after="120"/>
      </w:pPr>
      <w:r>
        <w:rPr>
          <w:rFonts w:ascii="Arial" w:cs="Arial" w:eastAsia="Arial" w:hAnsi="Arial"/>
          <w:sz w:val="22"/>
          <w:szCs w:val="22"/>
        </w:rPr>
        <w:t xml:space="preserve">Foreign fields are most commonly used with Many-to-One links (the “many” side reaching up to the “one” side). With Many-to-Many links, behavior is undefined when the host record is linked to multiple related records, so Foreign fields should be limited to Many-to-One and One-to-One relationships in practice.</w:t>
      </w:r>
    </w:p>
    <w:p>
      <w:r>
        <w:t xml:space="preserve"/>
      </w:r>
    </w:p>
    <w:p>
      <w:pPr>
        <w:pStyle w:val="Heading3"/>
      </w:pPr>
      <w:r>
        <w:rPr>
          <w:rFonts w:ascii="Arial" w:cs="Arial" w:eastAsia="Arial" w:hAnsi="Arial"/>
          <w:b/>
          <w:bCs/>
          <w:color w:val="595959"/>
          <w:sz w:val="24"/>
          <w:szCs w:val="24"/>
        </w:rPr>
        <w:t xml:space="preserve">Step-by-Step: Adding a Foreign Field</w:t>
      </w:r>
    </w:p>
    <w:p>
      <w:pPr>
        <w:spacing w:after="120"/>
      </w:pPr>
      <w:r>
        <w:rPr>
          <w:rFonts w:ascii="Arial" w:cs="Arial" w:eastAsia="Arial" w:hAnsi="Arial"/>
          <w:sz w:val="22"/>
          <w:szCs w:val="22"/>
        </w:rPr>
        <w:t xml:space="preserve">The following steps assume the underlying link already exists. If the link has not been created yet, complete Section 2.5 first, then return here.</w:t>
      </w:r>
    </w:p>
    <w:p>
      <w:r>
        <w:t xml:space="preserve"/>
      </w:r>
    </w:p>
    <w:p>
      <w:pPr>
        <w:pStyle w:val="Heading3"/>
      </w:pPr>
      <w:r>
        <w:rPr>
          <w:rFonts w:ascii="Arial" w:cs="Arial" w:eastAsia="Arial" w:hAnsi="Arial"/>
          <w:b/>
          <w:bCs/>
          <w:color w:val="595959"/>
          <w:sz w:val="24"/>
          <w:szCs w:val="24"/>
        </w:rPr>
        <w:t xml:space="preserve">Step 1 — Open the Fields Tab</w:t>
      </w:r>
    </w:p>
    <w:p>
      <w:pPr>
        <w:spacing w:after="120"/>
      </w:pPr>
      <w:r>
        <w:rPr>
          <w:rFonts w:ascii="Arial" w:cs="Arial" w:eastAsia="Arial" w:hAnsi="Arial"/>
          <w:sz w:val="22"/>
          <w:szCs w:val="22"/>
        </w:rPr>
        <w:t xml:space="preserve">Navigate to: Admin → Entity Manager → [Entity that hosts the Foreign field] → Fields → Add Field.</w:t>
      </w:r>
    </w:p>
    <w:p>
      <w:r>
        <w:t xml:space="preserve"/>
      </w:r>
    </w:p>
    <w:p>
      <w:pPr>
        <w:pStyle w:val="Heading3"/>
      </w:pPr>
      <w:r>
        <w:rPr>
          <w:rFonts w:ascii="Arial" w:cs="Arial" w:eastAsia="Arial" w:hAnsi="Arial"/>
          <w:b/>
          <w:bCs/>
          <w:color w:val="595959"/>
          <w:sz w:val="24"/>
          <w:szCs w:val="24"/>
        </w:rPr>
        <w:t xml:space="preserve">Step 2 — Select the Foreign Field Type</w:t>
      </w:r>
    </w:p>
    <w:p>
      <w:pPr>
        <w:spacing w:after="120"/>
      </w:pPr>
      <w:r>
        <w:rPr>
          <w:rFonts w:ascii="Arial" w:cs="Arial" w:eastAsia="Arial" w:hAnsi="Arial"/>
          <w:sz w:val="22"/>
          <w:szCs w:val="22"/>
        </w:rPr>
        <w:t xml:space="preserve">In the field-type list, choose Foreign. The form will change to show Link and Field selectors specific to this type.</w:t>
      </w:r>
    </w:p>
    <w:p>
      <w:r>
        <w:t xml:space="preserve"/>
      </w:r>
    </w:p>
    <w:p>
      <w:pPr>
        <w:pStyle w:val="Heading3"/>
      </w:pPr>
      <w:r>
        <w:rPr>
          <w:rFonts w:ascii="Arial" w:cs="Arial" w:eastAsia="Arial" w:hAnsi="Arial"/>
          <w:b/>
          <w:bCs/>
          <w:color w:val="595959"/>
          <w:sz w:val="24"/>
          <w:szCs w:val="24"/>
        </w:rPr>
        <w:t xml:space="preserve">Step 3 — Choose the Link to Traverse</w:t>
      </w:r>
    </w:p>
    <w:p>
      <w:pPr>
        <w:spacing w:after="120"/>
      </w:pPr>
      <w:r>
        <w:rPr>
          <w:rFonts w:ascii="Arial" w:cs="Arial" w:eastAsia="Arial" w:hAnsi="Arial"/>
          <w:sz w:val="22"/>
          <w:szCs w:val="22"/>
        </w:rPr>
        <w:t xml:space="preserve">The Link dropdown lists the existing relationships defined on this entity. Pick the relationship that points to the entity whose data you want to display. If the link you need is not in the list, the relationship has not been created yet — return to Section 2.5 to add it.</w:t>
      </w:r>
    </w:p>
    <w:p>
      <w:r>
        <w:t xml:space="preserve"/>
      </w:r>
    </w:p>
    <w:p>
      <w:pPr>
        <w:pStyle w:val="Heading3"/>
      </w:pPr>
      <w:r>
        <w:rPr>
          <w:rFonts w:ascii="Arial" w:cs="Arial" w:eastAsia="Arial" w:hAnsi="Arial"/>
          <w:b/>
          <w:bCs/>
          <w:color w:val="595959"/>
          <w:sz w:val="24"/>
          <w:szCs w:val="24"/>
        </w:rPr>
        <w:t xml:space="preserve">Step 4 — Choose the Field on the Linked Entity</w:t>
      </w:r>
    </w:p>
    <w:p>
      <w:pPr>
        <w:spacing w:after="120"/>
      </w:pPr>
      <w:r>
        <w:rPr>
          <w:rFonts w:ascii="Arial" w:cs="Arial" w:eastAsia="Arial" w:hAnsi="Arial"/>
          <w:sz w:val="22"/>
          <w:szCs w:val="22"/>
        </w:rPr>
        <w:t xml:space="preserve">The Field dropdown lists the fields available on the related entity. Pick the field whose value should appear on this entity. Fields of type Varchar, Int, Float, Enum, Date, DateTime, Bool, and Text are all valid sources.</w:t>
      </w:r>
    </w:p>
    <w:p>
      <w:r>
        <w:t xml:space="preserve"/>
      </w:r>
    </w:p>
    <w:p>
      <w:pPr>
        <w:pStyle w:val="Heading3"/>
      </w:pPr>
      <w:r>
        <w:rPr>
          <w:rFonts w:ascii="Arial" w:cs="Arial" w:eastAsia="Arial" w:hAnsi="Arial"/>
          <w:b/>
          <w:bCs/>
          <w:color w:val="595959"/>
          <w:sz w:val="24"/>
          <w:szCs w:val="24"/>
        </w:rPr>
        <w:t xml:space="preserve">Step 5 — Set Name and Label, then Save</w:t>
      </w:r>
    </w:p>
    <w:p>
      <w:pPr>
        <w:spacing w:after="120"/>
      </w:pPr>
      <w:r>
        <w:rPr>
          <w:rFonts w:ascii="Arial" w:cs="Arial" w:eastAsia="Arial" w:hAnsi="Arial"/>
          <w:sz w:val="22"/>
          <w:szCs w:val="22"/>
        </w:rPr>
        <w:t xml:space="preserve">Enter an internal Name (camelCase, used in the API and formulas) and a Label (display name). Click Save. EspoCRM will populate the Foreign field on existing records during the next cache rebuild and on new records as they are created or linked.</w:t>
      </w:r>
    </w:p>
    <w:p>
      <w:r>
        <w:t xml:space="preserve"/>
      </w:r>
    </w:p>
    <w:p>
      <w:pPr>
        <w:pStyle w:val="Heading3"/>
      </w:pPr>
      <w:r>
        <w:rPr>
          <w:rFonts w:ascii="Arial" w:cs="Arial" w:eastAsia="Arial" w:hAnsi="Arial"/>
          <w:b/>
          <w:bCs/>
          <w:color w:val="595959"/>
          <w:sz w:val="24"/>
          <w:szCs w:val="24"/>
        </w:rPr>
        <w:t xml:space="preserve">Example: Mentor Email on Engagement</w:t>
      </w:r>
    </w:p>
    <w:p>
      <w:pPr>
        <w:spacing w:after="120"/>
      </w:pPr>
      <w:r>
        <w:rPr>
          <w:rFonts w:ascii="Arial" w:cs="Arial" w:eastAsia="Arial" w:hAnsi="Arial"/>
          <w:sz w:val="22"/>
          <w:szCs w:val="22"/>
        </w:rPr>
        <w:t xml:space="preserve">Building on the assignedMentor link created in Section 2.7, this configuration adds a Mentor Email Foreign field to the Engagement entity. The field will display the email address of whichever Contact is linked through assignedMentor, allowing the email to appear in Engagement list views and filters without joining to Contact in a report.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624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312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624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w:t>
            </w:r>
          </w:p>
        </w:tc>
      </w:tr>
      <w:tr>
        <w:tc>
          <w:tcPr>
            <w:tcW w:type="dxa" w:w="312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624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assignedMentorEmailAddress</w:t>
            </w:r>
          </w:p>
        </w:tc>
      </w:tr>
      <w:tr>
        <w:tc>
          <w:tcPr>
            <w:tcW w:type="dxa" w:w="312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624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Email</w:t>
            </w:r>
          </w:p>
        </w:tc>
      </w:tr>
      <w:tr>
        <w:tc>
          <w:tcPr>
            <w:tcW w:type="dxa" w:w="312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w:t>
            </w:r>
          </w:p>
        </w:tc>
        <w:tc>
          <w:tcPr>
            <w:tcW w:type="dxa" w:w="624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312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Field (on linked entity)</w:t>
            </w:r>
          </w:p>
        </w:tc>
        <w:tc>
          <w:tcPr>
            <w:tcW w:type="dxa" w:w="624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emailAddress</w:t>
            </w:r>
          </w:p>
        </w:tc>
      </w:tr>
    </w:tbl>
    <w:p>
      <w:r>
        <w:t xml:space="preserve"/>
      </w:r>
    </w:p>
    <w:p>
      <w:pPr>
        <w:spacing w:after="120"/>
      </w:pPr>
      <w:r>
        <w:rPr>
          <w:rFonts w:ascii="Arial" w:cs="Arial" w:eastAsia="Arial" w:hAnsi="Arial"/>
          <w:sz w:val="22"/>
          <w:szCs w:val="22"/>
        </w:rPr>
        <w:t xml:space="preserve">After saving, every Engagement record will show the linked mentor’s email address as a read-only field. The field can be added to the Engagement list view, used as a search filter, and included in reports without any additional join configuration.</w:t>
      </w:r>
    </w:p>
    <w:p>
      <w:r>
        <w:t xml:space="preserve"/>
      </w:r>
    </w:p>
    <w:p>
      <w:pPr>
        <w:pStyle w:val="Heading3"/>
      </w:pPr>
      <w:r>
        <w:rPr>
          <w:rFonts w:ascii="Arial" w:cs="Arial" w:eastAsia="Arial" w:hAnsi="Arial"/>
          <w:b/>
          <w:bCs/>
          <w:color w:val="595959"/>
          <w:sz w:val="24"/>
          <w:szCs w:val="24"/>
        </w:rPr>
        <w:t xml:space="preserve">Important Constraints</w:t>
      </w:r>
    </w:p>
    <w:p>
      <w:pPr>
        <w:pStyle w:val="ListParagraph"/>
        <w:numPr>
          <w:ilvl w:val="0"/>
          <w:numId w:val="3"/>
        </w:numPr>
        <w:spacing w:after="100"/>
      </w:pPr>
      <w:r>
        <w:rPr>
          <w:rFonts w:ascii="Arial" w:cs="Arial" w:eastAsia="Arial" w:hAnsi="Arial"/>
          <w:sz w:val="22"/>
          <w:szCs w:val="22"/>
        </w:rPr>
        <w:t xml:space="preserve">Foreign fields are read-only on the host entity. To change the value, edit the source field on the related record (in the example above, edit the Contact’s email address) or change which related record is linked.</w:t>
      </w:r>
    </w:p>
    <w:p>
      <w:pPr>
        <w:pStyle w:val="ListParagraph"/>
        <w:numPr>
          <w:ilvl w:val="0"/>
          <w:numId w:val="3"/>
        </w:numPr>
        <w:spacing w:after="100"/>
      </w:pPr>
      <w:r>
        <w:rPr>
          <w:rFonts w:ascii="Arial" w:cs="Arial" w:eastAsia="Arial" w:hAnsi="Arial"/>
          <w:sz w:val="22"/>
          <w:szCs w:val="22"/>
        </w:rPr>
        <w:t xml:space="preserve">A Foreign field requires the link to exist before the field can be created. If the link is later removed, the Foreign field will become invalid and must be removed as well.</w:t>
      </w:r>
    </w:p>
    <w:p>
      <w:pPr>
        <w:pStyle w:val="ListParagraph"/>
        <w:numPr>
          <w:ilvl w:val="0"/>
          <w:numId w:val="3"/>
        </w:numPr>
        <w:spacing w:after="100"/>
      </w:pPr>
      <w:r>
        <w:rPr>
          <w:rFonts w:ascii="Arial" w:cs="Arial" w:eastAsia="Arial" w:hAnsi="Arial"/>
          <w:sz w:val="22"/>
          <w:szCs w:val="22"/>
        </w:rPr>
        <w:t xml:space="preserve">When the source record changes, the displayed value updates, but workflow triggers should still be configured on the source entity rather than the host entity. Workflow conditions evaluating a Foreign field on the host entity may not always fire on source-record changes.</w:t>
      </w:r>
    </w:p>
    <w:p>
      <w:pPr>
        <w:pStyle w:val="ListParagraph"/>
        <w:numPr>
          <w:ilvl w:val="0"/>
          <w:numId w:val="3"/>
        </w:numPr>
        <w:spacing w:after="100"/>
      </w:pPr>
      <w:r>
        <w:rPr>
          <w:rFonts w:ascii="Arial" w:cs="Arial" w:eastAsia="Arial" w:hAnsi="Arial"/>
          <w:sz w:val="22"/>
          <w:szCs w:val="22"/>
        </w:rPr>
        <w:t xml:space="preserve">Foreign fields should be used with Many-to-One and One-to-One links. Use with Many-to-Many links is not recommended — when the host record is linked to multiple related records, the displayed value is undefined.</w:t>
      </w:r>
    </w:p>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2"/>
      </w:pPr>
      <w:r>
        <w:rPr>
          <w:rFonts w:ascii="Arial" w:cs="Arial" w:eastAsia="Arial" w:hAnsi="Arial"/>
          <w:b/>
          <w:bCs/>
          <w:color w:val="2E75B6"/>
          <w:sz w:val="26"/>
          <w:szCs w:val="26"/>
        </w:rPr>
        <w:t xml:space="preserve">5. Controlling Panel Visibility with Dynamic Logic</w:t>
      </w:r>
    </w:p>
    <w:p>
      <w:r>
        <w:t xml:space="preserve"/>
      </w:r>
    </w:p>
    <w:p>
      <w:pPr>
        <w:spacing w:after="120"/>
      </w:pPr>
      <w:r>
        <w:rPr>
          <w:rFonts w:ascii="Arial" w:cs="Arial" w:eastAsia="Arial" w:hAnsi="Arial"/>
          <w:sz w:val="22"/>
          <w:szCs w:val="22"/>
        </w:rPr>
        <w:t xml:space="preserve">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r>
        <w:t xml:space="preserve"/>
      </w:r>
    </w:p>
    <w:p>
      <w:pPr>
        <w:pStyle w:val="Heading3"/>
      </w:pPr>
      <w:r>
        <w:rPr>
          <w:rFonts w:ascii="Arial" w:cs="Arial" w:eastAsia="Arial" w:hAnsi="Arial"/>
          <w:b/>
          <w:bCs/>
          <w:color w:val="595959"/>
          <w:sz w:val="24"/>
          <w:szCs w:val="24"/>
        </w:rPr>
        <w:t xml:space="preserve">5.1 How It Works</w:t>
      </w:r>
    </w:p>
    <w:p>
      <w:pPr>
        <w:spacing w:after="120"/>
      </w:pPr>
      <w:r>
        <w:rPr>
          <w:rFonts w:ascii="Arial" w:cs="Arial" w:eastAsia="Arial" w:hAnsi="Arial"/>
          <w:sz w:val="22"/>
          <w:szCs w:val="22"/>
        </w:rPr>
        <w:t xml:space="preserve">Dynamic Logic conditions are evaluated in real time as a record is viewed or edited. When a field value changes, the visibility of any panels or fields that depend on that condition updates immediately without requiring a page refresh.</w:t>
      </w:r>
    </w:p>
    <w:p>
      <w:r>
        <w:t xml:space="preserve"/>
      </w:r>
    </w:p>
    <w:p>
      <w:pPr>
        <w:spacing w:after="120"/>
      </w:pPr>
      <w:r>
        <w:rPr>
          <w:rFonts w:ascii="Arial" w:cs="Arial" w:eastAsia="Arial" w:hAnsi="Arial"/>
          <w:sz w:val="22"/>
          <w:szCs w:val="22"/>
        </w:rPr>
        <w:t xml:space="preserve">Conditions can be based on any field on the entity, including:</w:t>
      </w:r>
    </w:p>
    <w:p>
      <w:pPr>
        <w:pStyle w:val="ListParagraph"/>
        <w:numPr>
          <w:ilvl w:val="0"/>
          <w:numId w:val="2"/>
        </w:numPr>
        <w:spacing w:after="80"/>
      </w:pPr>
      <w:r>
        <w:rPr>
          <w:rFonts w:ascii="Arial" w:cs="Arial" w:eastAsia="Arial" w:hAnsi="Arial"/>
          <w:sz w:val="22"/>
          <w:szCs w:val="22"/>
        </w:rPr>
        <w:t xml:space="preserve">Enum (dropdown) fields — show a panel when the dropdown equals a specific value</w:t>
      </w:r>
    </w:p>
    <w:p>
      <w:pPr>
        <w:pStyle w:val="ListParagraph"/>
        <w:numPr>
          <w:ilvl w:val="0"/>
          <w:numId w:val="2"/>
        </w:numPr>
        <w:spacing w:after="80"/>
      </w:pPr>
      <w:r>
        <w:rPr>
          <w:rFonts w:ascii="Arial" w:cs="Arial" w:eastAsia="Arial" w:hAnsi="Arial"/>
          <w:sz w:val="22"/>
          <w:szCs w:val="22"/>
        </w:rPr>
        <w:t xml:space="preserve">Boolean fields — show a panel when a checkbox is checked</w:t>
      </w:r>
    </w:p>
    <w:p>
      <w:pPr>
        <w:pStyle w:val="ListParagraph"/>
        <w:numPr>
          <w:ilvl w:val="0"/>
          <w:numId w:val="2"/>
        </w:numPr>
        <w:spacing w:after="80"/>
      </w:pPr>
      <w:r>
        <w:rPr>
          <w:rFonts w:ascii="Arial" w:cs="Arial" w:eastAsia="Arial" w:hAnsi="Arial"/>
          <w:sz w:val="22"/>
          <w:szCs w:val="22"/>
        </w:rPr>
        <w:t xml:space="preserve">Link fields — show a panel when a relationship field is or is not empty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1.4 for details on configuring Enum fields correctly.</w:t>
            </w:r>
          </w:p>
        </w:tc>
      </w:tr>
    </w:tbl>
    <w:p>
      <w:pPr>
        <w:pStyle w:val="Heading3"/>
      </w:pPr>
      <w:r>
        <w:rPr>
          <w:rFonts w:ascii="Arial" w:cs="Arial" w:eastAsia="Arial" w:hAnsi="Arial"/>
          <w:b/>
          <w:bCs/>
          <w:color w:val="595959"/>
          <w:sz w:val="24"/>
          <w:szCs w:val="24"/>
        </w:rPr>
        <w:t xml:space="preserve">5.2 Step-by-Step: Configuring Dynamic Logic for a Panel</w:t>
      </w:r>
    </w:p>
    <w:p>
      <w:r>
        <w:t xml:space="preserve"/>
      </w:r>
    </w:p>
    <w:p>
      <w:pPr>
        <w:pStyle w:val="Heading3"/>
      </w:pPr>
      <w:r>
        <w:rPr>
          <w:rFonts w:ascii="Arial" w:cs="Arial" w:eastAsia="Arial" w:hAnsi="Arial"/>
          <w:b/>
          <w:bCs/>
          <w:color w:val="595959"/>
          <w:sz w:val="24"/>
          <w:szCs w:val="24"/>
        </w:rPr>
        <w:t xml:space="preserve">Step 1 — Open Dynamic Logic</w:t>
      </w:r>
    </w:p>
    <w:p>
      <w:pPr>
        <w:spacing w:after="120"/>
      </w:pPr>
      <w:r>
        <w:rPr>
          <w:rFonts w:ascii="Arial" w:cs="Arial" w:eastAsia="Arial" w:hAnsi="Arial"/>
          <w:sz w:val="22"/>
          <w:szCs w:val="22"/>
        </w:rPr>
        <w:t xml:space="preserve">Navigate to: Admin → Entity Manager → [Your Entity] → Dynamic Logic</w:t>
      </w:r>
    </w:p>
    <w:p>
      <w:r>
        <w:t xml:space="preserve"/>
      </w:r>
    </w:p>
    <w:p>
      <w:pPr>
        <w:pStyle w:val="Heading3"/>
      </w:pPr>
      <w:r>
        <w:rPr>
          <w:rFonts w:ascii="Arial" w:cs="Arial" w:eastAsia="Arial" w:hAnsi="Arial"/>
          <w:b/>
          <w:bCs/>
          <w:color w:val="595959"/>
          <w:sz w:val="24"/>
          <w:szCs w:val="24"/>
        </w:rPr>
        <w:t xml:space="preserve">Step 2 — Locate the Panel</w:t>
      </w:r>
    </w:p>
    <w:p>
      <w:pPr>
        <w:spacing w:after="120"/>
      </w:pPr>
      <w:r>
        <w:rPr>
          <w:rFonts w:ascii="Arial" w:cs="Arial" w:eastAsia="Arial" w:hAnsi="Arial"/>
          <w:sz w:val="22"/>
          <w:szCs w:val="22"/>
        </w:rPr>
        <w:t xml:space="preserve">The Dynamic Logic editor lists all panels available on the entity. Find the panel whose visibility you want to control and click on it to open its condition editor.</w:t>
      </w:r>
    </w:p>
    <w:p>
      <w:r>
        <w:t xml:space="preserve"/>
      </w:r>
    </w:p>
    <w:p>
      <w:pPr>
        <w:pStyle w:val="Heading3"/>
      </w:pPr>
      <w:r>
        <w:rPr>
          <w:rFonts w:ascii="Arial" w:cs="Arial" w:eastAsia="Arial" w:hAnsi="Arial"/>
          <w:b/>
          <w:bCs/>
          <w:color w:val="595959"/>
          <w:sz w:val="24"/>
          <w:szCs w:val="24"/>
        </w:rPr>
        <w:t xml:space="preserve">Step 3 — Set the Visible Condition</w:t>
      </w:r>
    </w:p>
    <w:p>
      <w:pPr>
        <w:spacing w:after="120"/>
      </w:pPr>
      <w:r>
        <w:rPr>
          <w:rFonts w:ascii="Arial" w:cs="Arial" w:eastAsia="Arial" w:hAnsi="Arial"/>
          <w:sz w:val="22"/>
          <w:szCs w:val="22"/>
        </w:rPr>
        <w:t xml:space="preserve">In the Visible condition section, define the rule that must be true for the panel to be displayed. Click Add Condition and configure:</w:t>
      </w:r>
    </w:p>
    <w:p>
      <w:r>
        <w:t xml:space="preserve"/>
      </w:r>
    </w:p>
    <w:p>
      <w:pPr>
        <w:pStyle w:val="ListParagraph"/>
        <w:numPr>
          <w:ilvl w:val="0"/>
          <w:numId w:val="2"/>
        </w:numPr>
        <w:spacing w:after="80"/>
      </w:pPr>
      <w:r>
        <w:rPr>
          <w:rFonts w:ascii="Arial" w:cs="Arial" w:eastAsia="Arial" w:hAnsi="Arial"/>
          <w:sz w:val="22"/>
          <w:szCs w:val="22"/>
        </w:rPr>
        <w:t xml:space="preserve">Field — select the field whose value will drive the visibility (e.g., Contact Type).</w:t>
      </w:r>
    </w:p>
    <w:p>
      <w:pPr>
        <w:pStyle w:val="ListParagraph"/>
        <w:numPr>
          <w:ilvl w:val="0"/>
          <w:numId w:val="2"/>
        </w:numPr>
        <w:spacing w:after="80"/>
      </w:pPr>
      <w:r>
        <w:rPr>
          <w:rFonts w:ascii="Arial" w:cs="Arial" w:eastAsia="Arial" w:hAnsi="Arial"/>
          <w:sz w:val="22"/>
          <w:szCs w:val="22"/>
        </w:rPr>
        <w:t xml:space="preserve">Operator — select the comparison operator (e.g., Equals, Not Equals, Is Empty, etc.).</w:t>
      </w:r>
    </w:p>
    <w:p>
      <w:pPr>
        <w:pStyle w:val="ListParagraph"/>
        <w:numPr>
          <w:ilvl w:val="0"/>
          <w:numId w:val="2"/>
        </w:numPr>
        <w:spacing w:after="80"/>
      </w:pPr>
      <w:r>
        <w:rPr>
          <w:rFonts w:ascii="Arial" w:cs="Arial" w:eastAsia="Arial" w:hAnsi="Arial"/>
          <w:sz w:val="22"/>
          <w:szCs w:val="22"/>
        </w:rPr>
        <w:t xml:space="preserve">Value — enter or select the value to compare against (e.g., Mentor).</w:t>
      </w:r>
    </w:p>
    <w:p>
      <w:r>
        <w:t xml:space="preserve"/>
      </w:r>
    </w:p>
    <w:p>
      <w:pPr>
        <w:spacing w:after="120"/>
      </w:pPr>
      <w:r>
        <w:rPr>
          <w:rFonts w:ascii="Arial" w:cs="Arial" w:eastAsia="Arial" w:hAnsi="Arial"/>
          <w:sz w:val="22"/>
          <w:szCs w:val="22"/>
        </w:rPr>
        <w:t xml:space="preserve">Multiple conditions can be combined using AND or OR logic if the visibility depends on more than one field value.</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The condition takes effect immediately. Open a record of that entity type and change the controlling field value to confirm the panel shows and hides correctly.</w:t>
      </w:r>
    </w:p>
    <w:p>
      <w:r>
        <w:t xml:space="preserve"/>
      </w:r>
    </w:p>
    <w:p>
      <w:pPr>
        <w:pStyle w:val="Heading2"/>
      </w:pPr>
      <w:r>
        <w:rPr>
          <w:rFonts w:ascii="Arial" w:cs="Arial" w:eastAsia="Arial" w:hAnsi="Arial"/>
          <w:b/>
          <w:bCs/>
          <w:color w:val="2E75B6"/>
          <w:sz w:val="26"/>
          <w:szCs w:val="26"/>
        </w:rPr>
        <w:t xml:space="preserve">5.3 Example: Contact Type Driving Panel Visibility</w:t>
      </w:r>
    </w:p>
    <w:p>
      <w:pPr>
        <w:spacing w:after="120"/>
      </w:pPr>
      <w:r>
        <w:rPr>
          <w:rFonts w:ascii="Arial" w:cs="Arial" w:eastAsia="Arial" w:hAnsi="Arial"/>
          <w:sz w:val="22"/>
          <w:szCs w:val="22"/>
        </w:rPr>
        <w:t xml:space="preserve">The CBM Contact entity uses Contact Type (an enum field with values Mentor and Client) to control which detail panels are displayed. The configuration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Panel</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Visible When</w:t>
            </w:r>
          </w:p>
        </w:tc>
        <w:tc>
          <w:tcPr>
            <w:tcW w:type="dxa" w:w="37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Condition</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Mentor</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Mentor</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Client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Client</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Client</w:t>
            </w:r>
          </w:p>
        </w:tc>
      </w:tr>
    </w:tbl>
    <w:p>
      <w:r>
        <w:t xml:space="preserve"/>
      </w:r>
    </w:p>
    <w:p>
      <w:r>
        <w:t xml:space="preserve"/>
      </w:r>
    </w:p>
    <w:p>
      <w:pPr>
        <w:spacing w:after="120"/>
      </w:pPr>
      <w:r>
        <w:rPr>
          <w:rFonts w:ascii="Arial" w:cs="Arial" w:eastAsia="Arial" w:hAnsi="Arial"/>
          <w:sz w:val="22"/>
          <w:szCs w:val="22"/>
        </w:rPr>
        <w:t xml:space="preserve">When a Contact record is opened, only the panel matching the current Contact Type value is displayed. If Contact Type is not yet set, neither panel is shown until a value is selected.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Dynamic Logic conditions apply to the detail view and edit view only. They do not filter which records appear in list views or relationship panels — for that, use search filters or saved views.</w:t>
            </w:r>
          </w:p>
        </w:tc>
      </w:tr>
    </w:tbl>
    <w:p>
      <w:r>
        <w:t xml:space="preserve"/>
      </w:r>
    </w:p>
    <w:p>
      <w:pPr>
        <w:pStyle w:val="Heading2"/>
      </w:pPr>
      <w:r>
        <w:rPr>
          <w:rFonts w:ascii="Arial" w:cs="Arial" w:eastAsia="Arial" w:hAnsi="Arial"/>
          <w:b/>
          <w:bCs/>
          <w:color w:val="2E75B6"/>
          <w:sz w:val="26"/>
          <w:szCs w:val="26"/>
        </w:rPr>
        <w:t xml:space="preserve">6. Organizing Fields into Tabs on the Detail View</w:t>
      </w:r>
    </w:p>
    <w:p>
      <w:r>
        <w:t xml:space="preserve"/>
      </w:r>
    </w:p>
    <w:p>
      <w:pPr>
        <w:spacing w:after="120"/>
      </w:pPr>
      <w:r>
        <w:rPr>
          <w:rFonts w:ascii="Arial" w:cs="Arial" w:eastAsia="Arial" w:hAnsi="Arial"/>
          <w:sz w:val="22"/>
          <w:szCs w:val="22"/>
        </w:rPr>
        <w:t xml:space="preserve">For entities with a large number of fields, EspoCRM supports organizing panels into tabs on the detail view. This reduces scrolling and improves usability by grouping related fields under clickable tab headers. Tab support is available as of EspoCRM v7.2.</w:t>
      </w:r>
    </w:p>
    <w:p>
      <w:r>
        <w:t xml:space="preserve"/>
      </w:r>
    </w:p>
    <w:p>
      <w:pPr>
        <w:pStyle w:val="Heading3"/>
      </w:pPr>
      <w:r>
        <w:rPr>
          <w:rFonts w:ascii="Arial" w:cs="Arial" w:eastAsia="Arial" w:hAnsi="Arial"/>
          <w:b/>
          <w:bCs/>
          <w:color w:val="595959"/>
          <w:sz w:val="24"/>
          <w:szCs w:val="24"/>
        </w:rPr>
        <w:t xml:space="preserve">6.1 How Tabs Work</w:t>
      </w:r>
    </w:p>
    <w:p>
      <w:pPr>
        <w:spacing w:after="120"/>
      </w:pPr>
      <w:r>
        <w:rPr>
          <w:rFonts w:ascii="Arial" w:cs="Arial" w:eastAsia="Arial" w:hAnsi="Arial"/>
          <w:sz w:val="22"/>
          <w:szCs w:val="22"/>
        </w:rPr>
        <w:t xml:space="preserve">Tabs are created by designating certain panels as Tab-Break panels in the Detail View layout. A Tab-Break panel marks the start of a new tab — all panels following it (until the next Tab-Break) are grouped into that tab. The Tab-Break panel's label becomes the tab header displayed at the top of the detail view.</w:t>
      </w:r>
    </w:p>
    <w:p>
      <w:r>
        <w:t xml:space="preserve"/>
      </w:r>
    </w:p>
    <w:p>
      <w:pPr>
        <w:pStyle w:val="Heading3"/>
      </w:pPr>
      <w:r>
        <w:rPr>
          <w:rFonts w:ascii="Arial" w:cs="Arial" w:eastAsia="Arial" w:hAnsi="Arial"/>
          <w:b/>
          <w:bCs/>
          <w:color w:val="595959"/>
          <w:sz w:val="24"/>
          <w:szCs w:val="24"/>
        </w:rPr>
        <w:t xml:space="preserve">6.2 Step-by-Step: Adding Tabs to a Detail View</w:t>
      </w:r>
    </w:p>
    <w:p>
      <w:r>
        <w:t xml:space="preserve"/>
      </w:r>
    </w:p>
    <w:p>
      <w:pPr>
        <w:pStyle w:val="Heading3"/>
      </w:pPr>
      <w:r>
        <w:rPr>
          <w:rFonts w:ascii="Arial" w:cs="Arial" w:eastAsia="Arial" w:hAnsi="Arial"/>
          <w:b/>
          <w:bCs/>
          <w:color w:val="595959"/>
          <w:sz w:val="24"/>
          <w:szCs w:val="24"/>
        </w:rPr>
        <w:t xml:space="preserve">Step 1 — Open the Detail View Layout</w:t>
      </w:r>
    </w:p>
    <w:p>
      <w:pPr>
        <w:spacing w:after="120"/>
      </w:pPr>
      <w:r>
        <w:rPr>
          <w:rFonts w:ascii="Arial" w:cs="Arial" w:eastAsia="Arial" w:hAnsi="Arial"/>
          <w:sz w:val="22"/>
          <w:szCs w:val="22"/>
        </w:rPr>
        <w:t xml:space="preserve">Navigate to: Admin → Entity Manager → [Your Entity] → Layouts → Detail View</w:t>
      </w:r>
    </w:p>
    <w:p>
      <w:r>
        <w:t xml:space="preserve"/>
      </w:r>
    </w:p>
    <w:p>
      <w:pPr>
        <w:pStyle w:val="Heading3"/>
      </w:pPr>
      <w:r>
        <w:rPr>
          <w:rFonts w:ascii="Arial" w:cs="Arial" w:eastAsia="Arial" w:hAnsi="Arial"/>
          <w:b/>
          <w:bCs/>
          <w:color w:val="595959"/>
          <w:sz w:val="24"/>
          <w:szCs w:val="24"/>
        </w:rPr>
        <w:t xml:space="preserve">Step 2 — Edit a Panel to Make It a Tab-Break</w:t>
      </w:r>
    </w:p>
    <w:p>
      <w:pPr>
        <w:spacing w:after="120"/>
      </w:pPr>
      <w:r>
        <w:rPr>
          <w:rFonts w:ascii="Arial" w:cs="Arial" w:eastAsia="Arial" w:hAnsi="Arial"/>
          <w:sz w:val="22"/>
          <w:szCs w:val="22"/>
        </w:rPr>
        <w:t xml:space="preserve">Click the pencil (edit) icon on the panel you want to be the first panel in a new tab. In the panel settings:</w:t>
      </w:r>
    </w:p>
    <w:p>
      <w:r>
        <w:t xml:space="preserve"/>
      </w:r>
    </w:p>
    <w:p>
      <w:pPr>
        <w:pStyle w:val="ListParagraph"/>
        <w:numPr>
          <w:ilvl w:val="0"/>
          <w:numId w:val="2"/>
        </w:numPr>
        <w:spacing w:after="80"/>
      </w:pPr>
      <w:r>
        <w:rPr>
          <w:rFonts w:ascii="Arial" w:cs="Arial" w:eastAsia="Arial" w:hAnsi="Arial"/>
          <w:sz w:val="22"/>
          <w:szCs w:val="22"/>
        </w:rPr>
        <w:t xml:space="preserve">Check the Tab-break option to designate this panel as the start of a new tab.</w:t>
      </w:r>
    </w:p>
    <w:p>
      <w:pPr>
        <w:pStyle w:val="ListParagraph"/>
        <w:numPr>
          <w:ilvl w:val="0"/>
          <w:numId w:val="2"/>
        </w:numPr>
        <w:spacing w:after="80"/>
      </w:pPr>
      <w:r>
        <w:rPr>
          <w:rFonts w:ascii="Arial" w:cs="Arial" w:eastAsia="Arial" w:hAnsi="Arial"/>
          <w:sz w:val="22"/>
          <w:szCs w:val="22"/>
        </w:rPr>
        <w:t xml:space="preserve">Enter a Tab Label — this is the text that will appear on the tab header (e.g., Personal Info, Training, Engagement Details).</w:t>
      </w:r>
    </w:p>
    <w:p>
      <w:r>
        <w:t xml:space="preserve"/>
      </w:r>
    </w:p>
    <w:p>
      <w:pPr>
        <w:pStyle w:val="Heading3"/>
      </w:pPr>
      <w:r>
        <w:rPr>
          <w:rFonts w:ascii="Arial" w:cs="Arial" w:eastAsia="Arial" w:hAnsi="Arial"/>
          <w:b/>
          <w:bCs/>
          <w:color w:val="595959"/>
          <w:sz w:val="24"/>
          <w:szCs w:val="24"/>
        </w:rPr>
        <w:t xml:space="preserve">Step 3 — Organize Additional Panels</w:t>
      </w:r>
    </w:p>
    <w:p>
      <w:pPr>
        <w:spacing w:after="120"/>
      </w:pPr>
      <w:r>
        <w:rPr>
          <w:rFonts w:ascii="Arial" w:cs="Arial" w:eastAsia="Arial" w:hAnsi="Arial"/>
          <w:sz w:val="22"/>
          <w:szCs w:val="22"/>
        </w:rPr>
        <w:t xml:space="preserve">All panels below a Tab-Break panel are automatically grouped into that tab, until the next Tab-Break panel is encountered. To create additional tabs, repeat Step 2 for each panel that should start a new tab.</w:t>
      </w:r>
    </w:p>
    <w:p>
      <w:r>
        <w:t xml:space="preserve"/>
      </w:r>
    </w:p>
    <w:p>
      <w:pPr>
        <w:spacing w:after="120"/>
      </w:pPr>
      <w:r>
        <w:rPr>
          <w:rFonts w:ascii="Arial" w:cs="Arial" w:eastAsia="Arial" w:hAnsi="Arial"/>
          <w:sz w:val="22"/>
          <w:szCs w:val="22"/>
        </w:rPr>
        <w:t xml:space="preserve">For example, if you have panels A, B, C, D, E and you mark A and C as Tab-Break panels:</w:t>
      </w:r>
    </w:p>
    <w:p>
      <w:pPr>
        <w:pStyle w:val="ListParagraph"/>
        <w:numPr>
          <w:ilvl w:val="0"/>
          <w:numId w:val="2"/>
        </w:numPr>
        <w:spacing w:after="80"/>
      </w:pPr>
      <w:r>
        <w:rPr>
          <w:rFonts w:ascii="Arial" w:cs="Arial" w:eastAsia="Arial" w:hAnsi="Arial"/>
          <w:sz w:val="22"/>
          <w:szCs w:val="22"/>
        </w:rPr>
        <w:t xml:space="preserve">Tab 1 (label from A) — contains panels A and B</w:t>
      </w:r>
    </w:p>
    <w:p>
      <w:pPr>
        <w:pStyle w:val="ListParagraph"/>
        <w:numPr>
          <w:ilvl w:val="0"/>
          <w:numId w:val="2"/>
        </w:numPr>
        <w:spacing w:after="80"/>
      </w:pPr>
      <w:r>
        <w:rPr>
          <w:rFonts w:ascii="Arial" w:cs="Arial" w:eastAsia="Arial" w:hAnsi="Arial"/>
          <w:sz w:val="22"/>
          <w:szCs w:val="22"/>
        </w:rPr>
        <w:t xml:space="preserve">Tab 2 (label from C) — contains panels C, D, and E</w:t>
      </w:r>
    </w:p>
    <w:p>
      <w:r>
        <w:t xml:space="preserve"/>
      </w:r>
    </w:p>
    <w:p>
      <w:pPr>
        <w:pStyle w:val="Heading3"/>
      </w:pPr>
      <w:r>
        <w:rPr>
          <w:rFonts w:ascii="Arial" w:cs="Arial" w:eastAsia="Arial" w:hAnsi="Arial"/>
          <w:b/>
          <w:bCs/>
          <w:color w:val="595959"/>
          <w:sz w:val="24"/>
          <w:szCs w:val="24"/>
        </w:rPr>
        <w:t xml:space="preserve">Step 4 — Save and Clear Cache</w:t>
      </w:r>
    </w:p>
    <w:p>
      <w:pPr>
        <w:pStyle w:val="ListParagraph"/>
        <w:numPr>
          <w:ilvl w:val="0"/>
          <w:numId w:val="3"/>
        </w:numPr>
        <w:spacing w:after="100"/>
      </w:pPr>
      <w:r>
        <w:rPr>
          <w:rFonts w:ascii="Arial" w:cs="Arial" w:eastAsia="Arial" w:hAnsi="Arial"/>
          <w:sz w:val="22"/>
          <w:szCs w:val="22"/>
        </w:rPr>
        <w:t xml:space="preserve">Click Save in the layout editor.</w:t>
      </w:r>
    </w:p>
    <w:p>
      <w:pPr>
        <w:pStyle w:val="ListParagraph"/>
        <w:numPr>
          <w:ilvl w:val="0"/>
          <w:numId w:val="3"/>
        </w:numPr>
        <w:spacing w:after="100"/>
      </w:pPr>
      <w:r>
        <w:rPr>
          <w:rFonts w:ascii="Arial" w:cs="Arial" w:eastAsia="Arial" w:hAnsi="Arial"/>
          <w:sz w:val="22"/>
          <w:szCs w:val="22"/>
        </w:rPr>
        <w:t xml:space="preserve">Go to: Admin → Clear Cache.</w:t>
      </w:r>
    </w:p>
    <w:p>
      <w:pPr>
        <w:pStyle w:val="ListParagraph"/>
        <w:numPr>
          <w:ilvl w:val="0"/>
          <w:numId w:val="3"/>
        </w:numPr>
        <w:spacing w:after="100"/>
      </w:pPr>
      <w:r>
        <w:rPr>
          <w:rFonts w:ascii="Arial" w:cs="Arial" w:eastAsia="Arial" w:hAnsi="Arial"/>
          <w:sz w:val="22"/>
          <w:szCs w:val="22"/>
        </w:rPr>
        <w:t xml:space="preserve">Refresh your browser. The detail view will now show tabs at the top.</w:t>
      </w:r>
    </w:p>
    <w:p>
      <w:r>
        <w:t xml:space="preserve"/>
      </w:r>
    </w:p>
    <w:p>
      <w:pPr>
        <w:pStyle w:val="Heading3"/>
      </w:pPr>
      <w:r>
        <w:rPr>
          <w:rFonts w:ascii="Arial" w:cs="Arial" w:eastAsia="Arial" w:hAnsi="Arial"/>
          <w:b/>
          <w:bCs/>
          <w:color w:val="595959"/>
          <w:sz w:val="24"/>
          <w:szCs w:val="24"/>
        </w:rPr>
        <w:t xml:space="preserve">6.3 Important Notes</w:t>
      </w:r>
    </w:p>
    <w:p>
      <w:pPr>
        <w:pStyle w:val="ListParagraph"/>
        <w:numPr>
          <w:ilvl w:val="0"/>
          <w:numId w:val="2"/>
        </w:numPr>
        <w:spacing w:after="80"/>
      </w:pPr>
      <w:r>
        <w:rPr>
          <w:rFonts w:ascii="Arial" w:cs="Arial" w:eastAsia="Arial" w:hAnsi="Arial"/>
          <w:sz w:val="22"/>
          <w:szCs w:val="22"/>
        </w:rPr>
        <w:t xml:space="preserve">Tab-Break panels should not be combined with the Hidden panel parameter — they are not fully compatible.</w:t>
      </w:r>
    </w:p>
    <w:p>
      <w:pPr>
        <w:pStyle w:val="ListParagraph"/>
        <w:numPr>
          <w:ilvl w:val="0"/>
          <w:numId w:val="2"/>
        </w:numPr>
        <w:spacing w:after="80"/>
      </w:pPr>
      <w:r>
        <w:rPr>
          <w:rFonts w:ascii="Arial" w:cs="Arial" w:eastAsia="Arial" w:hAnsi="Arial"/>
          <w:sz w:val="22"/>
          <w:szCs w:val="22"/>
        </w:rPr>
        <w:t xml:space="preserve">Dynamic Logic conditions can be used to control the visibility of both individual panels and entire tabs based on field values, the same way as documented in Section 5.</w:t>
      </w:r>
    </w:p>
    <w:p>
      <w:pPr>
        <w:pStyle w:val="ListParagraph"/>
        <w:numPr>
          <w:ilvl w:val="0"/>
          <w:numId w:val="2"/>
        </w:numPr>
        <w:spacing w:after="80"/>
      </w:pPr>
      <w:r>
        <w:rPr>
          <w:rFonts w:ascii="Arial" w:cs="Arial" w:eastAsia="Arial" w:hAnsi="Arial"/>
          <w:sz w:val="22"/>
          <w:szCs w:val="22"/>
        </w:rPr>
        <w:t xml:space="preserve">If only one tab is defined, EspoCRM will display the layout without tabs. At least two Tab-Break panels are needed for the tab interface to appear.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Tab organization only affects the Detail View and Edit View. It has no effect on List View, Bottom Panels, or List (Small) layouts.</w:t>
            </w:r>
          </w:p>
        </w:tc>
      </w:tr>
    </w:tbl>
    <w:p>
      <w:r>
        <w:t xml:space="preserve"/>
      </w:r>
    </w:p>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2"/>
      </w:pPr>
      <w:r>
        <w:rPr>
          <w:rFonts w:ascii="Arial" w:cs="Arial" w:eastAsia="Arial" w:hAnsi="Arial"/>
          <w:b/>
          <w:bCs/>
          <w:color w:val="2E75B6"/>
          <w:sz w:val="26"/>
          <w:szCs w:val="26"/>
        </w:rPr>
        <w:t xml:space="preserve">10. Integrating EspoCRM Contacts with Google Contacts</w:t>
      </w:r>
    </w:p>
    <w:p>
      <w:r>
        <w:t xml:space="preserve"/>
      </w:r>
    </w:p>
    <w:p>
      <w:pPr>
        <w:spacing w:after="120"/>
      </w:pPr>
      <w:r>
        <w:rPr>
          <w:rFonts w:ascii="Arial" w:cs="Arial" w:eastAsia="Arial" w:hAnsi="Arial"/>
          <w:sz w:val="22"/>
          <w:szCs w:val="22"/>
        </w:rPr>
        <w:t xml:space="preserve">EspoCRM can push Contact and Lead records from EspoCRM into Google Contacts, keeping your CRM data accessible from any Google service or device that syncs with Google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Before setting up Google Contacts integration for users, the administrator must first configure the Google Integration at the system level. Confirm this has been completed before proceeding with the user-level setup below.</w:t>
            </w:r>
          </w:p>
        </w:tc>
      </w:tr>
    </w:tbl>
    <w:p>
      <w:r>
        <w:t xml:space="preserve"/>
      </w:r>
    </w:p>
    <w:p>
      <w:pPr>
        <w:pStyle w:val="Heading3"/>
      </w:pPr>
      <w:r>
        <w:rPr>
          <w:rFonts w:ascii="Arial" w:cs="Arial" w:eastAsia="Arial" w:hAnsi="Arial"/>
          <w:b/>
          <w:bCs/>
          <w:color w:val="595959"/>
          <w:sz w:val="24"/>
          <w:szCs w:val="24"/>
        </w:rPr>
        <w:t xml:space="preserve">10.1 What Gets Pushed</w:t>
      </w:r>
    </w:p>
    <w:p>
      <w:pPr>
        <w:spacing w:after="120"/>
      </w:pPr>
      <w:r>
        <w:rPr>
          <w:rFonts w:ascii="Arial" w:cs="Arial" w:eastAsia="Arial" w:hAnsi="Arial"/>
          <w:sz w:val="22"/>
          <w:szCs w:val="22"/>
        </w:rPr>
        <w:t xml:space="preserve">The following fields are pushed from EspoCRM to Google Contacts when a sync is performed:</w:t>
      </w:r>
    </w:p>
    <w:p>
      <w:r>
        <w:t xml:space="preserve"/>
      </w:r>
    </w:p>
    <w:p>
      <w:pPr>
        <w:pStyle w:val="ListParagraph"/>
        <w:numPr>
          <w:ilvl w:val="0"/>
          <w:numId w:val="2"/>
        </w:numPr>
        <w:spacing w:after="80"/>
      </w:pPr>
      <w:r>
        <w:rPr>
          <w:rFonts w:ascii="Arial" w:cs="Arial" w:eastAsia="Arial" w:hAnsi="Arial"/>
          <w:sz w:val="22"/>
          <w:szCs w:val="22"/>
        </w:rPr>
        <w:t xml:space="preserve">Name</w:t>
      </w:r>
    </w:p>
    <w:p>
      <w:pPr>
        <w:pStyle w:val="ListParagraph"/>
        <w:numPr>
          <w:ilvl w:val="0"/>
          <w:numId w:val="2"/>
        </w:numPr>
        <w:spacing w:after="80"/>
      </w:pPr>
      <w:r>
        <w:rPr>
          <w:rFonts w:ascii="Arial" w:cs="Arial" w:eastAsia="Arial" w:hAnsi="Arial"/>
          <w:sz w:val="22"/>
          <w:szCs w:val="22"/>
        </w:rPr>
        <w:t xml:space="preserve">Description</w:t>
      </w:r>
    </w:p>
    <w:p>
      <w:pPr>
        <w:pStyle w:val="ListParagraph"/>
        <w:numPr>
          <w:ilvl w:val="0"/>
          <w:numId w:val="2"/>
        </w:numPr>
        <w:spacing w:after="80"/>
      </w:pPr>
      <w:r>
        <w:rPr>
          <w:rFonts w:ascii="Arial" w:cs="Arial" w:eastAsia="Arial" w:hAnsi="Arial"/>
          <w:sz w:val="22"/>
          <w:szCs w:val="22"/>
        </w:rPr>
        <w:t xml:space="preserve">Email Addresses</w:t>
      </w:r>
    </w:p>
    <w:p>
      <w:pPr>
        <w:pStyle w:val="ListParagraph"/>
        <w:numPr>
          <w:ilvl w:val="0"/>
          <w:numId w:val="2"/>
        </w:numPr>
        <w:spacing w:after="80"/>
      </w:pPr>
      <w:r>
        <w:rPr>
          <w:rFonts w:ascii="Arial" w:cs="Arial" w:eastAsia="Arial" w:hAnsi="Arial"/>
          <w:sz w:val="22"/>
          <w:szCs w:val="22"/>
        </w:rPr>
        <w:t xml:space="preserve">Phone Numbers</w:t>
      </w:r>
    </w:p>
    <w:p>
      <w:pPr>
        <w:pStyle w:val="ListParagraph"/>
        <w:numPr>
          <w:ilvl w:val="0"/>
          <w:numId w:val="2"/>
        </w:numPr>
        <w:spacing w:after="80"/>
      </w:pPr>
      <w:r>
        <w:rPr>
          <w:rFonts w:ascii="Arial" w:cs="Arial" w:eastAsia="Arial" w:hAnsi="Arial"/>
          <w:sz w:val="22"/>
          <w:szCs w:val="22"/>
        </w:rPr>
        <w:t xml:space="preserve">Account Name</w:t>
      </w:r>
    </w:p>
    <w:p>
      <w:pPr>
        <w:pStyle w:val="ListParagraph"/>
        <w:numPr>
          <w:ilvl w:val="0"/>
          <w:numId w:val="2"/>
        </w:numPr>
        <w:spacing w:after="80"/>
      </w:pPr>
      <w:r>
        <w:rPr>
          <w:rFonts w:ascii="Arial" w:cs="Arial" w:eastAsia="Arial" w:hAnsi="Arial"/>
          <w:sz w:val="22"/>
          <w:szCs w:val="22"/>
        </w:rPr>
        <w:t xml:space="preserve">Account Title</w:t>
      </w:r>
    </w:p>
    <w:p>
      <w:pPr>
        <w:pStyle w:val="ListParagraph"/>
        <w:numPr>
          <w:ilvl w:val="0"/>
          <w:numId w:val="2"/>
        </w:numPr>
        <w:spacing w:after="80"/>
      </w:pPr>
      <w:r>
        <w:rPr>
          <w:rFonts w:ascii="Arial" w:cs="Arial" w:eastAsia="Arial" w:hAnsi="Arial"/>
          <w:sz w:val="22"/>
          <w:szCs w:val="22"/>
        </w:rPr>
        <w:t xml:space="preserve">Address</w:t>
      </w:r>
    </w:p>
    <w:p>
      <w:r>
        <w:t xml:space="preserve"/>
      </w:r>
    </w:p>
    <w:p>
      <w:pPr>
        <w:pStyle w:val="Heading3"/>
      </w:pPr>
      <w:r>
        <w:rPr>
          <w:rFonts w:ascii="Arial" w:cs="Arial" w:eastAsia="Arial" w:hAnsi="Arial"/>
          <w:b/>
          <w:bCs/>
          <w:color w:val="595959"/>
          <w:sz w:val="24"/>
          <w:szCs w:val="24"/>
        </w:rPr>
        <w:t xml:space="preserve">10.2 User Setup</w:t>
      </w:r>
    </w:p>
    <w:p>
      <w:pPr>
        <w:spacing w:after="120"/>
      </w:pPr>
      <w:r>
        <w:rPr>
          <w:rFonts w:ascii="Arial" w:cs="Arial" w:eastAsia="Arial" w:hAnsi="Arial"/>
          <w:sz w:val="22"/>
          <w:szCs w:val="22"/>
        </w:rPr>
        <w:t xml:space="preserve">Each user must connect their Google account to EspoCRM and enable the Google Contacts scope before they can push records. To do this:</w:t>
      </w:r>
    </w:p>
    <w:p>
      <w:r>
        <w:t xml:space="preserve"/>
      </w:r>
    </w:p>
    <w:p>
      <w:pPr>
        <w:pStyle w:val="ListParagraph"/>
        <w:numPr>
          <w:ilvl w:val="0"/>
          <w:numId w:val="3"/>
        </w:numPr>
        <w:spacing w:after="100"/>
      </w:pPr>
      <w:r>
        <w:rPr>
          <w:rFonts w:ascii="Arial" w:cs="Arial" w:eastAsia="Arial" w:hAnsi="Arial"/>
          <w:sz w:val="22"/>
          <w:szCs w:val="22"/>
        </w:rPr>
        <w:t xml:space="preserve">Go to your user detail view by clicking your name in the top-right menu.</w:t>
      </w:r>
    </w:p>
    <w:p>
      <w:pPr>
        <w:pStyle w:val="ListParagraph"/>
        <w:numPr>
          <w:ilvl w:val="0"/>
          <w:numId w:val="3"/>
        </w:numPr>
        <w:spacing w:after="100"/>
      </w:pPr>
      <w:r>
        <w:rPr>
          <w:rFonts w:ascii="Arial" w:cs="Arial" w:eastAsia="Arial" w:hAnsi="Arial"/>
          <w:sz w:val="22"/>
          <w:szCs w:val="22"/>
        </w:rPr>
        <w:t xml:space="preserve">Click the External Account button.</w:t>
      </w:r>
    </w:p>
    <w:p>
      <w:pPr>
        <w:pStyle w:val="ListParagraph"/>
        <w:numPr>
          <w:ilvl w:val="0"/>
          <w:numId w:val="3"/>
        </w:numPr>
        <w:spacing w:after="100"/>
      </w:pPr>
      <w:r>
        <w:rPr>
          <w:rFonts w:ascii="Arial" w:cs="Arial" w:eastAsia="Arial" w:hAnsi="Arial"/>
          <w:sz w:val="22"/>
          <w:szCs w:val="22"/>
        </w:rPr>
        <w:t xml:space="preserve">Click Google in the left panel.</w:t>
      </w:r>
    </w:p>
    <w:p>
      <w:pPr>
        <w:pStyle w:val="ListParagraph"/>
        <w:numPr>
          <w:ilvl w:val="0"/>
          <w:numId w:val="3"/>
        </w:numPr>
        <w:spacing w:after="100"/>
      </w:pPr>
      <w:r>
        <w:rPr>
          <w:rFonts w:ascii="Arial" w:cs="Arial" w:eastAsia="Arial" w:hAnsi="Arial"/>
          <w:sz w:val="22"/>
          <w:szCs w:val="22"/>
        </w:rPr>
        <w:t xml:space="preserve">Check the Enabled checkbox, then click the Connect button.</w:t>
      </w:r>
    </w:p>
    <w:p>
      <w:pPr>
        <w:pStyle w:val="ListParagraph"/>
        <w:numPr>
          <w:ilvl w:val="0"/>
          <w:numId w:val="3"/>
        </w:numPr>
        <w:spacing w:after="100"/>
      </w:pPr>
      <w:r>
        <w:rPr>
          <w:rFonts w:ascii="Arial" w:cs="Arial" w:eastAsia="Arial" w:hAnsi="Arial"/>
          <w:sz w:val="22"/>
          <w:szCs w:val="22"/>
        </w:rPr>
        <w:t xml:space="preserve">A popup will appear asking for your consent to grant EspoCRM access to your Google account. Approve it.</w:t>
      </w:r>
    </w:p>
    <w:p>
      <w:pPr>
        <w:pStyle w:val="ListParagraph"/>
        <w:numPr>
          <w:ilvl w:val="0"/>
          <w:numId w:val="3"/>
        </w:numPr>
        <w:spacing w:after="100"/>
      </w:pPr>
      <w:r>
        <w:rPr>
          <w:rFonts w:ascii="Arial" w:cs="Arial" w:eastAsia="Arial" w:hAnsi="Arial"/>
          <w:sz w:val="22"/>
          <w:szCs w:val="22"/>
        </w:rPr>
        <w:t xml:space="preserve">A green Connected label should appear confirming the connection was successful.</w:t>
      </w:r>
    </w:p>
    <w:p>
      <w:pPr>
        <w:pStyle w:val="ListParagraph"/>
        <w:numPr>
          <w:ilvl w:val="0"/>
          <w:numId w:val="3"/>
        </w:numPr>
        <w:spacing w:after="100"/>
      </w:pPr>
      <w:r>
        <w:rPr>
          <w:rFonts w:ascii="Arial" w:cs="Arial" w:eastAsia="Arial" w:hAnsi="Arial"/>
          <w:sz w:val="22"/>
          <w:szCs w:val="22"/>
        </w:rPr>
        <w:t xml:space="preserve">Check the Google Contacts checkbox to enable contact syncing.</w:t>
      </w:r>
    </w:p>
    <w:p>
      <w:pPr>
        <w:pStyle w:val="ListParagraph"/>
        <w:numPr>
          <w:ilvl w:val="0"/>
          <w:numId w:val="3"/>
        </w:numPr>
        <w:spacing w:after="100"/>
      </w:pPr>
      <w:r>
        <w:rPr>
          <w:rFonts w:ascii="Arial" w:cs="Arial" w:eastAsia="Arial" w:hAnsi="Arial"/>
          <w:sz w:val="22"/>
          <w:szCs w:val="22"/>
        </w:rPr>
        <w:t xml:space="preserve">Optionally, select one or more Google Contacts Groups to specify which group(s) EspoCRM records will be pushed into.</w:t>
      </w:r>
    </w:p>
    <w:p>
      <w:pPr>
        <w:pStyle w:val="ListParagraph"/>
        <w:numPr>
          <w:ilvl w:val="0"/>
          <w:numId w:val="3"/>
        </w:numPr>
        <w:spacing w:after="100"/>
      </w:pPr>
      <w:r>
        <w:rPr>
          <w:rFonts w:ascii="Arial" w:cs="Arial" w:eastAsia="Arial" w:hAnsi="Arial"/>
          <w:sz w:val="22"/>
          <w:szCs w:val="22"/>
        </w:rPr>
        <w:t xml:space="preserve">Click Save.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the Google Contacts checkbox does not appear after connecting successfully, the administrator has not granted access to the Google Contacts scope. Contact your administrator to enable it.</w:t>
            </w:r>
          </w:p>
        </w:tc>
      </w:tr>
    </w:tbl>
    <w:p>
      <w:r>
        <w:t xml:space="preserve"/>
      </w:r>
    </w:p>
    <w:p>
      <w:pPr>
        <w:pStyle w:val="Heading3"/>
      </w:pPr>
      <w:r>
        <w:rPr>
          <w:rFonts w:ascii="Arial" w:cs="Arial" w:eastAsia="Arial" w:hAnsi="Arial"/>
          <w:b/>
          <w:bCs/>
          <w:color w:val="595959"/>
          <w:sz w:val="24"/>
          <w:szCs w:val="24"/>
        </w:rPr>
        <w:t xml:space="preserve">10.3 Pushing Contacts to Google</w:t>
      </w:r>
    </w:p>
    <w:p>
      <w:pPr>
        <w:spacing w:after="120"/>
      </w:pPr>
      <w:r>
        <w:rPr>
          <w:rFonts w:ascii="Arial" w:cs="Arial" w:eastAsia="Arial" w:hAnsi="Arial"/>
          <w:sz w:val="22"/>
          <w:szCs w:val="22"/>
        </w:rPr>
        <w:t xml:space="preserve">Once the user setup is complete, contacts and leads can be pushed to Google Contacts manually:</w:t>
      </w:r>
    </w:p>
    <w:p>
      <w:r>
        <w:t xml:space="preserve"/>
      </w:r>
    </w:p>
    <w:p>
      <w:pPr>
        <w:pStyle w:val="ListParagraph"/>
        <w:numPr>
          <w:ilvl w:val="0"/>
          <w:numId w:val="3"/>
        </w:numPr>
        <w:spacing w:after="100"/>
      </w:pPr>
      <w:r>
        <w:rPr>
          <w:rFonts w:ascii="Arial" w:cs="Arial" w:eastAsia="Arial" w:hAnsi="Arial"/>
          <w:sz w:val="22"/>
          <w:szCs w:val="22"/>
        </w:rPr>
        <w:t xml:space="preserve">Go to the Contacts or Leads list view.</w:t>
      </w:r>
    </w:p>
    <w:p>
      <w:pPr>
        <w:pStyle w:val="ListParagraph"/>
        <w:numPr>
          <w:ilvl w:val="0"/>
          <w:numId w:val="3"/>
        </w:numPr>
        <w:spacing w:after="100"/>
      </w:pPr>
      <w:r>
        <w:rPr>
          <w:rFonts w:ascii="Arial" w:cs="Arial" w:eastAsia="Arial" w:hAnsi="Arial"/>
          <w:sz w:val="22"/>
          <w:szCs w:val="22"/>
        </w:rPr>
        <w:t xml:space="preserve">Select the records you want to push using the checkboxes.</w:t>
      </w:r>
    </w:p>
    <w:p>
      <w:pPr>
        <w:pStyle w:val="ListParagraph"/>
        <w:numPr>
          <w:ilvl w:val="0"/>
          <w:numId w:val="3"/>
        </w:numPr>
        <w:spacing w:after="100"/>
      </w:pPr>
      <w:r>
        <w:rPr>
          <w:rFonts w:ascii="Arial" w:cs="Arial" w:eastAsia="Arial" w:hAnsi="Arial"/>
          <w:sz w:val="22"/>
          <w:szCs w:val="22"/>
        </w:rPr>
        <w:t xml:space="preserve">Click the Actions dropdown and select Push to Google.</w:t>
      </w:r>
    </w:p>
    <w:p>
      <w:r>
        <w:t xml:space="preserve"/>
      </w:r>
    </w:p>
    <w:p>
      <w:pPr>
        <w:spacing w:after="120"/>
      </w:pPr>
      <w:r>
        <w:rPr>
          <w:rFonts w:ascii="Arial" w:cs="Arial" w:eastAsia="Arial" w:hAnsi="Arial"/>
          <w:sz w:val="22"/>
          <w:szCs w:val="22"/>
        </w:rPr>
        <w:t xml:space="preserve">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r>
        <w:t xml:space="preserve"/>
      </w:r>
    </w:p>
    <w:p>
      <w:pPr>
        <w:pStyle w:val="Heading2"/>
      </w:pPr>
      <w:r>
        <w:rPr>
          <w:rFonts w:ascii="Arial" w:cs="Arial" w:eastAsia="Arial" w:hAnsi="Arial"/>
          <w:b/>
          <w:bCs/>
          <w:color w:val="2E75B6"/>
          <w:sz w:val="26"/>
          <w:szCs w:val="26"/>
        </w:rPr>
        <w:t xml:space="preserve">11. SMS Sending via Twilio</w:t>
      </w:r>
    </w:p>
    <w:p>
      <w:r>
        <w:t xml:space="preserve"/>
      </w:r>
    </w:p>
    <w:p>
      <w:pPr>
        <w:spacing w:after="120"/>
      </w:pPr>
      <w:r>
        <w:rPr>
          <w:rFonts w:ascii="Arial" w:cs="Arial" w:eastAsia="Arial" w:hAnsi="Arial"/>
          <w:sz w:val="22"/>
          <w:szCs w:val="22"/>
        </w:rPr>
        <w:t xml:space="preserve">EspoCRM includes built-in functionality for sending SMS messages but does not ship with any SMS provider out of the box. SMS sending requires the official SMS Providers extension, which adds support for multiple providers including Twilio.</w:t>
      </w:r>
    </w:p>
    <w:p>
      <w:r>
        <w:t xml:space="preserve"/>
      </w:r>
    </w:p>
    <w:p>
      <w:pPr>
        <w:pStyle w:val="Heading3"/>
      </w:pPr>
      <w:r>
        <w:rPr>
          <w:rFonts w:ascii="Arial" w:cs="Arial" w:eastAsia="Arial" w:hAnsi="Arial"/>
          <w:b/>
          <w:bCs/>
          <w:color w:val="595959"/>
          <w:sz w:val="24"/>
          <w:szCs w:val="24"/>
        </w:rPr>
        <w:t xml:space="preserve">11.1 Supported SMS Providers</w:t>
      </w:r>
    </w:p>
    <w:p>
      <w:pPr>
        <w:spacing w:after="120"/>
      </w:pPr>
      <w:r>
        <w:rPr>
          <w:rFonts w:ascii="Arial" w:cs="Arial" w:eastAsia="Arial" w:hAnsi="Arial"/>
          <w:sz w:val="22"/>
          <w:szCs w:val="22"/>
        </w:rPr>
        <w:t xml:space="preserve">The SMS Providers extension supports the following providers:</w:t>
      </w:r>
    </w:p>
    <w:p>
      <w:r>
        <w:t xml:space="preserve"/>
      </w:r>
    </w:p>
    <w:p>
      <w:pPr>
        <w:pStyle w:val="ListParagraph"/>
        <w:numPr>
          <w:ilvl w:val="0"/>
          <w:numId w:val="2"/>
        </w:numPr>
        <w:spacing w:after="80"/>
      </w:pPr>
      <w:r>
        <w:rPr>
          <w:rFonts w:ascii="Arial" w:cs="Arial" w:eastAsia="Arial" w:hAnsi="Arial"/>
          <w:sz w:val="22"/>
          <w:szCs w:val="22"/>
        </w:rPr>
        <w:t xml:space="preserve">Twilio</w:t>
      </w:r>
    </w:p>
    <w:p>
      <w:pPr>
        <w:pStyle w:val="ListParagraph"/>
        <w:numPr>
          <w:ilvl w:val="0"/>
          <w:numId w:val="2"/>
        </w:numPr>
        <w:spacing w:after="80"/>
      </w:pPr>
      <w:r>
        <w:rPr>
          <w:rFonts w:ascii="Arial" w:cs="Arial" w:eastAsia="Arial" w:hAnsi="Arial"/>
          <w:sz w:val="22"/>
          <w:szCs w:val="22"/>
        </w:rPr>
        <w:t xml:space="preserve">Spryng</w:t>
      </w:r>
    </w:p>
    <w:p>
      <w:pPr>
        <w:pStyle w:val="ListParagraph"/>
        <w:numPr>
          <w:ilvl w:val="0"/>
          <w:numId w:val="2"/>
        </w:numPr>
        <w:spacing w:after="80"/>
      </w:pPr>
      <w:r>
        <w:rPr>
          <w:rFonts w:ascii="Arial" w:cs="Arial" w:eastAsia="Arial" w:hAnsi="Arial"/>
          <w:sz w:val="22"/>
          <w:szCs w:val="22"/>
        </w:rPr>
        <w:t xml:space="preserve">seven</w:t>
      </w:r>
    </w:p>
    <w:p>
      <w:pPr>
        <w:pStyle w:val="ListParagraph"/>
        <w:numPr>
          <w:ilvl w:val="0"/>
          <w:numId w:val="2"/>
        </w:numPr>
        <w:spacing w:after="80"/>
      </w:pPr>
      <w:r>
        <w:rPr>
          <w:rFonts w:ascii="Arial" w:cs="Arial" w:eastAsia="Arial" w:hAnsi="Arial"/>
          <w:sz w:val="22"/>
          <w:szCs w:val="22"/>
        </w:rPr>
        <w:t xml:space="preserve">smstools</w:t>
      </w:r>
    </w:p>
    <w:p>
      <w:pPr>
        <w:pStyle w:val="ListParagraph"/>
        <w:numPr>
          <w:ilvl w:val="0"/>
          <w:numId w:val="2"/>
        </w:numPr>
        <w:spacing w:after="80"/>
      </w:pPr>
      <w:r>
        <w:rPr>
          <w:rFonts w:ascii="Arial" w:cs="Arial" w:eastAsia="Arial" w:hAnsi="Arial"/>
          <w:sz w:val="22"/>
          <w:szCs w:val="22"/>
        </w:rPr>
        <w:t xml:space="preserve">SerwerSms</w:t>
      </w:r>
    </w:p>
    <w:p>
      <w:pPr>
        <w:pStyle w:val="ListParagraph"/>
        <w:numPr>
          <w:ilvl w:val="0"/>
          <w:numId w:val="2"/>
        </w:numPr>
        <w:spacing w:after="80"/>
      </w:pPr>
      <w:r>
        <w:rPr>
          <w:rFonts w:ascii="Arial" w:cs="Arial" w:eastAsia="Arial" w:hAnsi="Arial"/>
          <w:sz w:val="22"/>
          <w:szCs w:val="22"/>
        </w:rPr>
        <w:t xml:space="preserve">Verimor</w:t>
      </w:r>
    </w:p>
    <w:p>
      <w:pPr>
        <w:pStyle w:val="ListParagraph"/>
        <w:numPr>
          <w:ilvl w:val="0"/>
          <w:numId w:val="2"/>
        </w:numPr>
        <w:spacing w:after="80"/>
      </w:pPr>
      <w:r>
        <w:rPr>
          <w:rFonts w:ascii="Arial" w:cs="Arial" w:eastAsia="Arial" w:hAnsi="Arial"/>
          <w:sz w:val="22"/>
          <w:szCs w:val="22"/>
        </w:rPr>
        <w:t xml:space="preserve">GatewayAPI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Out of the box, SMS can be sent from a Formula script or PHP code. The VoIP Integration additionally provides the ability to send SMS through the EspoCRM UI, but this is available only for the Twilio provider.</w:t>
            </w:r>
          </w:p>
        </w:tc>
      </w:tr>
    </w:tbl>
    <w:p>
      <w:r>
        <w:t xml:space="preserve"/>
      </w:r>
    </w:p>
    <w:p>
      <w:pPr>
        <w:pStyle w:val="Heading3"/>
      </w:pPr>
      <w:r>
        <w:rPr>
          <w:rFonts w:ascii="Arial" w:cs="Arial" w:eastAsia="Arial" w:hAnsi="Arial"/>
          <w:b/>
          <w:bCs/>
          <w:color w:val="595959"/>
          <w:sz w:val="24"/>
          <w:szCs w:val="24"/>
        </w:rPr>
        <w:t xml:space="preserve">11.2 Step 1 — Install the SMS Providers Extension</w:t>
      </w:r>
    </w:p>
    <w:p>
      <w:pPr>
        <w:spacing w:after="120"/>
      </w:pPr>
      <w:r>
        <w:rPr>
          <w:rFonts w:ascii="Arial" w:cs="Arial" w:eastAsia="Arial" w:hAnsi="Arial"/>
          <w:sz w:val="22"/>
          <w:szCs w:val="22"/>
        </w:rPr>
        <w:t xml:space="preserve">Download the extension package from the EspoCRM SMS Providers GitHub repository (look under the Assets section of the latest release). Then install it in EspoCRM:</w:t>
      </w:r>
    </w:p>
    <w:p>
      <w:r>
        <w:t xml:space="preserve"/>
      </w:r>
    </w:p>
    <w:p>
      <w:pPr>
        <w:pStyle w:val="ListParagraph"/>
        <w:numPr>
          <w:ilvl w:val="0"/>
          <w:numId w:val="3"/>
        </w:numPr>
        <w:spacing w:after="100"/>
      </w:pPr>
      <w:r>
        <w:rPr>
          <w:rFonts w:ascii="Arial" w:cs="Arial" w:eastAsia="Arial" w:hAnsi="Arial"/>
          <w:sz w:val="22"/>
          <w:szCs w:val="22"/>
        </w:rPr>
        <w:t xml:space="preserve">Go to: Admin → Extensions.</w:t>
      </w:r>
    </w:p>
    <w:p>
      <w:pPr>
        <w:pStyle w:val="ListParagraph"/>
        <w:numPr>
          <w:ilvl w:val="0"/>
          <w:numId w:val="3"/>
        </w:numPr>
        <w:spacing w:after="100"/>
      </w:pPr>
      <w:r>
        <w:rPr>
          <w:rFonts w:ascii="Arial" w:cs="Arial" w:eastAsia="Arial" w:hAnsi="Arial"/>
          <w:sz w:val="22"/>
          <w:szCs w:val="22"/>
        </w:rPr>
        <w:t xml:space="preserve">Click Choose File and select the downloaded extension package.</w:t>
      </w:r>
    </w:p>
    <w:p>
      <w:pPr>
        <w:pStyle w:val="ListParagraph"/>
        <w:numPr>
          <w:ilvl w:val="0"/>
          <w:numId w:val="3"/>
        </w:numPr>
        <w:spacing w:after="100"/>
      </w:pPr>
      <w:r>
        <w:rPr>
          <w:rFonts w:ascii="Arial" w:cs="Arial" w:eastAsia="Arial" w:hAnsi="Arial"/>
          <w:sz w:val="22"/>
          <w:szCs w:val="22"/>
        </w:rPr>
        <w:t xml:space="preserve">Click Upload, then follow the prompts to install.</w:t>
      </w:r>
    </w:p>
    <w:p>
      <w:r>
        <w:t xml:space="preserve"/>
      </w:r>
    </w:p>
    <w:p>
      <w:pPr>
        <w:pStyle w:val="Heading3"/>
      </w:pPr>
      <w:r>
        <w:rPr>
          <w:rFonts w:ascii="Arial" w:cs="Arial" w:eastAsia="Arial" w:hAnsi="Arial"/>
          <w:b/>
          <w:bCs/>
          <w:color w:val="595959"/>
          <w:sz w:val="24"/>
          <w:szCs w:val="24"/>
        </w:rPr>
        <w:t xml:space="preserve">11.3 Step 2 — Configure the SMS Provider</w:t>
      </w:r>
    </w:p>
    <w:p>
      <w:pPr>
        <w:spacing w:after="120"/>
      </w:pPr>
      <w:r>
        <w:rPr>
          <w:rFonts w:ascii="Arial" w:cs="Arial" w:eastAsia="Arial" w:hAnsi="Arial"/>
          <w:sz w:val="22"/>
          <w:szCs w:val="22"/>
        </w:rPr>
        <w:t xml:space="preserve">After the extension is installed, configure the SMS provider settings:</w:t>
      </w:r>
    </w:p>
    <w:p>
      <w:r>
        <w:t xml:space="preserve"/>
      </w:r>
    </w:p>
    <w:p>
      <w:pPr>
        <w:pStyle w:val="ListParagraph"/>
        <w:numPr>
          <w:ilvl w:val="0"/>
          <w:numId w:val="3"/>
        </w:numPr>
        <w:spacing w:after="100"/>
      </w:pPr>
      <w:r>
        <w:rPr>
          <w:rFonts w:ascii="Arial" w:cs="Arial" w:eastAsia="Arial" w:hAnsi="Arial"/>
          <w:sz w:val="22"/>
          <w:szCs w:val="22"/>
        </w:rPr>
        <w:t xml:space="preserve">Go to: Admin → SMS.</w:t>
      </w:r>
    </w:p>
    <w:p>
      <w:pPr>
        <w:pStyle w:val="ListParagraph"/>
        <w:numPr>
          <w:ilvl w:val="0"/>
          <w:numId w:val="3"/>
        </w:numPr>
        <w:spacing w:after="100"/>
      </w:pPr>
      <w:r>
        <w:rPr>
          <w:rFonts w:ascii="Arial" w:cs="Arial" w:eastAsia="Arial" w:hAnsi="Arial"/>
          <w:sz w:val="22"/>
          <w:szCs w:val="22"/>
        </w:rPr>
        <w:t xml:space="preserve">Select your SMS provider from the Provider dropdown (e.g., Twilio).</w:t>
      </w:r>
    </w:p>
    <w:p>
      <w:pPr>
        <w:pStyle w:val="ListParagraph"/>
        <w:numPr>
          <w:ilvl w:val="0"/>
          <w:numId w:val="3"/>
        </w:numPr>
        <w:spacing w:after="100"/>
      </w:pPr>
      <w:r>
        <w:rPr>
          <w:rFonts w:ascii="Arial" w:cs="Arial" w:eastAsia="Arial" w:hAnsi="Arial"/>
          <w:sz w:val="22"/>
          <w:szCs w:val="22"/>
        </w:rPr>
        <w:t xml:space="preserve">In the SMS From Number field, enter the sending phone number including the country code (e.g., +11111111111).</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ListParagraph"/>
        <w:numPr>
          <w:ilvl w:val="0"/>
          <w:numId w:val="3"/>
        </w:numPr>
        <w:spacing w:after="100"/>
      </w:pPr>
      <w:r>
        <w:rPr>
          <w:rFonts w:ascii="Arial" w:cs="Arial" w:eastAsia="Arial" w:hAnsi="Arial"/>
          <w:sz w:val="22"/>
          <w:szCs w:val="22"/>
        </w:rPr>
        <w:t xml:space="preserve">Go to: Admin → Integrations and select your provider (e.g., Twilio).</w:t>
      </w:r>
    </w:p>
    <w:p>
      <w:pPr>
        <w:pStyle w:val="ListParagraph"/>
        <w:numPr>
          <w:ilvl w:val="0"/>
          <w:numId w:val="3"/>
        </w:numPr>
        <w:spacing w:after="100"/>
      </w:pPr>
      <w:r>
        <w:rPr>
          <w:rFonts w:ascii="Arial" w:cs="Arial" w:eastAsia="Arial" w:hAnsi="Arial"/>
          <w:sz w:val="22"/>
          <w:szCs w:val="22"/>
        </w:rPr>
        <w:t xml:space="preserve">Enter the required credentials and parameters for that provider (for Twilio: Account SID and Auth Token from your Twilio console).</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Heading3"/>
      </w:pPr>
      <w:r>
        <w:rPr>
          <w:rFonts w:ascii="Arial" w:cs="Arial" w:eastAsia="Arial" w:hAnsi="Arial"/>
          <w:b/>
          <w:bCs/>
          <w:color w:val="595959"/>
          <w:sz w:val="24"/>
          <w:szCs w:val="24"/>
        </w:rPr>
        <w:t xml:space="preserve">11.4 Sending SMS via Formula Script</w:t>
      </w:r>
    </w:p>
    <w:p>
      <w:pPr>
        <w:spacing w:after="120"/>
      </w:pPr>
      <w:r>
        <w:rPr>
          <w:rFonts w:ascii="Arial" w:cs="Arial" w:eastAsia="Arial" w:hAnsi="Arial"/>
          <w:sz w:val="22"/>
          <w:szCs w:val="22"/>
        </w:rPr>
        <w:t xml:space="preserve">Once the extension is installed and configured, SMS messages can be sent programmatically using the ext\sms\send formula function. This is useful for automated notifications triggered by workflows or other system events.</w:t>
      </w:r>
    </w:p>
    <w:p>
      <w:r>
        <w:t xml:space="preserve"/>
      </w:r>
    </w:p>
    <w:p>
      <w:pPr>
        <w:pStyle w:val="Heading3"/>
      </w:pPr>
      <w:r>
        <w:rPr>
          <w:rFonts w:ascii="Arial" w:cs="Arial" w:eastAsia="Arial" w:hAnsi="Arial"/>
          <w:b/>
          <w:bCs/>
          <w:color w:val="595959"/>
          <w:sz w:val="24"/>
          <w:szCs w:val="24"/>
        </w:rPr>
        <w:t xml:space="preserve">11.5 Sending SMS via Workflow (Requires Advanced Pack)</w:t>
      </w:r>
    </w:p>
    <w:p>
      <w:pPr>
        <w:spacing w:after="120"/>
      </w:pPr>
      <w:r>
        <w:rPr>
          <w:rFonts w:ascii="Arial" w:cs="Arial" w:eastAsia="Arial" w:hAnsi="Arial"/>
          <w:sz w:val="22"/>
          <w:szCs w:val="22"/>
        </w:rPr>
        <w:t xml:space="preserve">With the Workflow tool and the Advanced Pack extension, EspoCRM can be configured to send SMS notifications automatically when specific conditions are met. To set this up:</w:t>
      </w:r>
    </w:p>
    <w:p>
      <w:r>
        <w:t xml:space="preserve"/>
      </w:r>
    </w:p>
    <w:p>
      <w:pPr>
        <w:pStyle w:val="ListParagraph"/>
        <w:numPr>
          <w:ilvl w:val="0"/>
          <w:numId w:val="3"/>
        </w:numPr>
        <w:spacing w:after="100"/>
      </w:pPr>
      <w:r>
        <w:rPr>
          <w:rFonts w:ascii="Arial" w:cs="Arial" w:eastAsia="Arial" w:hAnsi="Arial"/>
          <w:sz w:val="22"/>
          <w:szCs w:val="22"/>
        </w:rPr>
        <w:t xml:space="preserve">Create a new Workflow rule with the desired trigger type and conditions (e.g., when an Engagement status changes to Active).</w:t>
      </w:r>
    </w:p>
    <w:p>
      <w:pPr>
        <w:pStyle w:val="ListParagraph"/>
        <w:numPr>
          <w:ilvl w:val="0"/>
          <w:numId w:val="3"/>
        </w:numPr>
        <w:spacing w:after="100"/>
      </w:pPr>
      <w:r>
        <w:rPr>
          <w:rFonts w:ascii="Arial" w:cs="Arial" w:eastAsia="Arial" w:hAnsi="Arial"/>
          <w:sz w:val="22"/>
          <w:szCs w:val="22"/>
        </w:rPr>
        <w:t xml:space="preserve">Add an Execute Formula Script action to the workflow.</w:t>
      </w:r>
    </w:p>
    <w:p>
      <w:pPr>
        <w:pStyle w:val="ListParagraph"/>
        <w:numPr>
          <w:ilvl w:val="0"/>
          <w:numId w:val="3"/>
        </w:numPr>
        <w:spacing w:after="100"/>
      </w:pPr>
      <w:r>
        <w:rPr>
          <w:rFonts w:ascii="Arial" w:cs="Arial" w:eastAsia="Arial" w:hAnsi="Arial"/>
          <w:sz w:val="22"/>
          <w:szCs w:val="22"/>
        </w:rPr>
        <w:t xml:space="preserve">Paste a formula script that creates an SMS record and sends it. A basic example: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$body = 'Hi! This is an SMS notification from EspoCRM.';</w:t>
            </w:r>
          </w:p>
          <w:p>
            <w:r>
              <w:rPr>
                <w:rFonts w:ascii="Courier New" w:cs="Courier New" w:eastAsia="Courier New" w:hAnsi="Courier New"/>
                <w:sz w:val="18"/>
                <w:szCs w:val="18"/>
              </w:rPr>
              <w:t xml:space="preserve"/>
            </w:r>
          </w:p>
          <w:p>
            <w:r>
              <w:rPr>
                <w:rFonts w:ascii="Courier New" w:cs="Courier New" w:eastAsia="Courier New" w:hAnsi="Courier New"/>
                <w:color w:val="666666"/>
                <w:sz w:val="18"/>
                <w:szCs w:val="18"/>
              </w:rPr>
              <w:t xml:space="preserve">// Phone number is obtained from the entity.</w:t>
            </w:r>
          </w:p>
          <w:p>
            <w:r>
              <w:rPr>
                <w:rFonts w:ascii="Courier New" w:cs="Courier New" w:eastAsia="Courier New" w:hAnsi="Courier New"/>
                <w:sz w:val="18"/>
                <w:szCs w:val="18"/>
              </w:rPr>
              <w:t xml:space="preserve">$phoneNumber = phoneNumber;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$smsId = record\create(</w:t>
            </w:r>
          </w:p>
          <w:p>
            <w:r>
              <w:rPr>
                <w:rFonts w:ascii="Courier New" w:cs="Courier New" w:eastAsia="Courier New" w:hAnsi="Courier New"/>
                <w:sz w:val="18"/>
                <w:szCs w:val="18"/>
              </w:rPr>
              <w:t xml:space="preserve">    'Sms',</w:t>
            </w:r>
          </w:p>
          <w:p>
            <w:r>
              <w:rPr>
                <w:rFonts w:ascii="Courier New" w:cs="Courier New" w:eastAsia="Courier New" w:hAnsi="Courier New"/>
                <w:sz w:val="18"/>
                <w:szCs w:val="18"/>
              </w:rPr>
              <w:t xml:space="preserve">    'to', $phoneNumber,</w:t>
            </w:r>
          </w:p>
          <w:p>
            <w:r>
              <w:rPr>
                <w:rFonts w:ascii="Courier New" w:cs="Courier New" w:eastAsia="Courier New" w:hAnsi="Courier New"/>
                <w:sz w:val="18"/>
                <w:szCs w:val="18"/>
              </w:rPr>
              <w:t xml:space="preserve">    'body', $body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ext\sms\send($smsId);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Advanced Pack extension is required to use Workflows in EspoCRM. Confirm this extension is installed before attempting to configure workflow-based SMS sending.</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add a filtered view to the left navigation menu alongside other entities — for example, adding a ‘My Engagements’ or ‘Client Companies’ entry to the left column that opens a pre-filtered list view. No admin UI path has been identified for this. It likely requires custom development such as a Custom View or metadata configuration, but the exact approach needs to be researched and documented.</w:t>
      </w:r>
    </w:p>
    <w:p>
      <w:pPr>
        <w:pStyle w:val="ListParagraph"/>
        <w:numPr>
          <w:ilvl w:val="0"/>
          <w:numId w:val="2"/>
        </w:numPr>
        <w:spacing w:after="80"/>
      </w:pPr>
      <w:r>
        <w:rPr>
          <w:rFonts w:ascii="Arial" w:cs="Arial" w:eastAsia="Arial" w:hAnsi="Arial"/>
          <w:sz w:val="22"/>
          <w:szCs w:val="22"/>
        </w:rPr>
        <w:t xml:space="preserve">Whether EspoCRM supports multiple list views with different column layouts for different types within the same entity — for example, showing different columns for Client Companies vs Partner Companies. Saved search filters can show different subsets of records but cannot change the column layout per type. EspoCRM does support Custom Views (a developer-level JavaScript customization) that could dynamically show different columns based on a field value, but this requires writing and maintaining custom JS files on the server — similar in complexity to the Dynamic Handler approach. This is not a practical solution for most admin use cases and should be considered only if the difference in fields between types is significant enough to justify the development effort.</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pPr>
        <w:pStyle w:val="ListParagraph"/>
        <w:numPr>
          <w:ilvl w:val="0"/>
          <w:numId w:val="2"/>
        </w:numPr>
        <w:spacing w:after="80"/>
      </w:pPr>
      <w:r>
        <w:rPr>
          <w:rFonts w:ascii="Arial" w:cs="Arial" w:eastAsia="Arial" w:hAnsi="Arial"/>
          <w:sz w:val="22"/>
          <w:szCs w:val="22"/>
        </w:rPr>
        <w:t xml:space="preserve">How do users add notes to a record — the Note entity exists in Entity Manager as a system-level entity with limited configurability (Fields only, no Layouts or Relationships tabs). It likely powers an activity stream or notes panel on record detail pages, but the exact user-facing path for posting notes, attaching files, and viewing note history on a record needs to be identified and documented.</w:t>
      </w:r>
    </w:p>
    <w:p>
      <w:r>
        <w:t xml:space="preserve"/>
      </w:r>
    </w:p>
    <w:p>
      <w:pPr>
        <w:pStyle w:val="Heading2"/>
      </w:pPr>
      <w:r>
        <w:rPr>
          <w:rFonts w:ascii="Arial" w:cs="Arial" w:eastAsia="Arial" w:hAnsi="Arial"/>
          <w:b/>
          <w:bCs/>
          <w:color w:val="2E75B6"/>
          <w:sz w:val="26"/>
          <w:szCs w:val="26"/>
        </w:rPr>
        <w:t xml:space="preserve">Change Log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2200"/>
        <w:gridCol w:w="4260"/>
      </w:tblGrid>
      <w:tr>
        <w:tc>
          <w:tcPr>
            <w:tcW w:type="dxa" w:w="1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Version</w:t>
            </w:r>
          </w:p>
        </w:tc>
        <w:tc>
          <w:tcPr>
            <w:tcW w:type="dxa" w:w="17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Date</w:t>
            </w:r>
          </w:p>
        </w:tc>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Author</w:t>
            </w:r>
          </w:p>
        </w:tc>
        <w:tc>
          <w:tcPr>
            <w:tcW w:type="dxa" w:w="42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Description</w:t>
            </w:r>
          </w:p>
        </w:tc>
      </w:tr>
      <w:tr>
        <w:tc>
          <w:tcPr>
            <w:tcW w:type="dxa" w:w="1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1.0</w:t>
            </w:r>
          </w:p>
        </w:tc>
        <w:tc>
          <w:tcPr>
            <w:tcW w:type="dxa" w:w="17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05-05-26 11:03</w:t>
            </w:r>
          </w:p>
        </w:tc>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Doug Bower</w:t>
            </w:r>
          </w:p>
        </w:tc>
        <w:tc>
          <w:tcPr>
            <w:tcW w:type="dxa" w:w="42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Initial baseline — existing content prior to revision control adoption.</w:t>
            </w:r>
          </w:p>
        </w:tc>
      </w:tr>
      <w:tr>
        <w:tc>
          <w:tcPr>
            <w:tcW w:type="dxa" w:w="1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1.1</w:t>
            </w:r>
          </w:p>
        </w:tc>
        <w:tc>
          <w:tcPr>
            <w:tcW w:type="dxa" w:w="17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05-05-26 11:03</w:t>
            </w:r>
          </w:p>
        </w:tc>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Doug Bower</w:t>
            </w:r>
          </w:p>
        </w:tc>
        <w:tc>
          <w:tcPr>
            <w:tcW w:type="dxa" w:w="42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Added Section 1.2 "Entity Types"; renumbered subsequent subsections in Section 1; updated Type-field note in the entity-creation procedure.</w:t>
            </w:r>
          </w:p>
        </w:tc>
      </w:tr>
      <w:tr>
        <w:tc>
          <w:tcPr>
            <w:tcW w:type="dxa" w:w="1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1.2</w:t>
            </w:r>
          </w:p>
        </w:tc>
        <w:tc>
          <w:tcPr>
            <w:tcW w:type="dxa" w:w="17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05-10-26 04:27</w:t>
            </w:r>
          </w:p>
        </w:tc>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Doug Bower</w:t>
            </w:r>
          </w:p>
        </w:tc>
        <w:tc>
          <w:tcPr>
            <w:tcW w:type="dxa" w:w="42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Added Section 2.8 "Foreign Fields — Displaying Linked Entity Data" covering concept, configuration steps, an Engagement-to-Mentor example, and operational constraints.</w:t>
            </w:r>
          </w:p>
        </w:tc>
      </w:tr>
    </w:tbl>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2026-03-26T01:13:19.653Z</dcterms:created>
  <dcterms:modified xsi:type="dcterms:W3CDTF">2026-03-26T01:13:19.653Z</dcterms:modified>
</cp:coreProperties>
</file>

<file path=docProps/custom.xml><?xml version="1.0" encoding="utf-8"?>
<Properties xmlns="http://schemas.openxmlformats.org/officeDocument/2006/custom-properties" xmlns:vt="http://schemas.openxmlformats.org/officeDocument/2006/docPropsVTypes"/>
</file>