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1.7</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04-07-26 09:00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 For Domain records with is_service = TRUE (Cross-Domain Services), the resulting domain_overview, process_definition, and domain_reconciliation work items belong to Phase 4 (Cross-Domain Service Definition) rather than Phases 3, 5, and 6. The phase number is determined by the application using the item_type-to-phase mapping in Section 14.2.3.</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5):</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6):</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7):</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8):</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9):</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10):</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11):</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12):</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ProcessField, and ProcessPersona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ProcessField, and ProcessPersona at the step level.</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Mode Architecture</w:t>
      </w:r>
    </w:p>
    <w:p>
      <w:pPr>
        <w:spacing w:after="160"/>
      </w:pPr>
      <w:r>
        <w:rPr>
          <w:rFonts w:ascii="Arial" w:cs="Arial" w:eastAsia="Arial" w:hAnsi="Arial"/>
          <w:color w:val="000000"/>
          <w:sz w:val="22"/>
          <w:szCs w:val="22"/>
        </w:rPr>
        <w:t xml:space="preserve">The main window operates in two modes: Requirements mode and Deployment mode. A persistent mode selector at the top of the window allows the administrator to switch between modes at any time.</w:t>
      </w:r>
    </w:p>
    <w:p>
      <w:pPr>
        <w:spacing w:after="160"/>
      </w:pPr>
      <w:r>
        <w:rPr>
          <w:rFonts w:ascii="Arial" w:cs="Arial" w:eastAsia="Arial" w:hAnsi="Arial"/>
          <w:color w:val="000000"/>
          <w:sz w:val="22"/>
          <w:szCs w:val="22"/>
        </w:rPr>
        <w:t xml:space="preserve">Requirements mode contains all automation panels: the Project Dashboard, Work Item Detail, Session Orchestration, Import Review, Impact Analysis, Document Generation, and Data Browser. This mode is the primary workspace from project creation through YAML generation (Phases 1–8) and CRM Selection (Phase 9).</w:t>
      </w:r>
    </w:p>
    <w:p>
      <w:pPr>
        <w:spacing w:after="160"/>
      </w:pPr>
      <w:r>
        <w:rPr>
          <w:rFonts w:ascii="Arial" w:cs="Arial" w:eastAsia="Arial" w:hAnsi="Arial"/>
          <w:color w:val="000000"/>
          <w:sz w:val="22"/>
          <w:szCs w:val="22"/>
        </w:rPr>
        <w:t xml:space="preserve">Deployment mode contains the existing panels: Instance, Program, Deploy, and Output. This mode takes over for CRM Deployment (Phase 10), CRM Configuration (Phase 11), and Verification (Phase 12). The existing panels are unchanged — their behavior, layout, and state machine remain as currently implemented.</w:t>
      </w:r>
    </w:p>
    <w:p>
      <w:pPr>
        <w:spacing w:after="160"/>
      </w:pPr>
      <w:r>
        <w:rPr>
          <w:rFonts w:ascii="Arial" w:cs="Arial" w:eastAsia="Arial" w:hAnsi="Arial"/>
          <w:color w:val="000000"/>
          <w:sz w:val="22"/>
          <w:szCs w:val="22"/>
        </w:rPr>
        <w:t xml:space="preserve">The two modes share no panels. Switching modes replaces the entire content area below the mode selector. Each mode preserves its internal navigation state independently — switching from Requirements to Deployment and back returns the administrator to the same screen they left.</w:t>
      </w:r>
    </w:p>
    <w:p>
      <w:pPr>
        <w:pStyle w:val="Heading3"/>
        <w:spacing w:after="120" w:before="240"/>
      </w:pPr>
      <w:r>
        <w:rPr>
          <w:rFonts w:ascii="Arial" w:cs="Arial" w:eastAsia="Arial" w:hAnsi="Arial"/>
          <w:b/>
          <w:bCs/>
          <w:color w:val="1F3864"/>
          <w:sz w:val="22"/>
          <w:szCs w:val="22"/>
        </w:rPr>
        <w:t xml:space="preserve">14.1.2 Requirements Mode Navigation</w:t>
      </w:r>
    </w:p>
    <w:p>
      <w:pPr>
        <w:spacing w:after="160"/>
      </w:pPr>
      <w:r>
        <w:rPr>
          <w:rFonts w:ascii="Arial" w:cs="Arial" w:eastAsia="Arial" w:hAnsi="Arial"/>
          <w:color w:val="000000"/>
          <w:sz w:val="22"/>
          <w:szCs w:val="22"/>
        </w:rPr>
        <w:t xml:space="preserve">Requirements mode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Dashboard, Data Browser, Documents, and Impact Review. Dashboard is selected by default when the administrator enters Requirements mode.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Dashboard view. When the administrator selects a work item on the Dashboard, the content area transitions to the Work Item Detail view. From Work Item Detail, actions such as Import Review or Session Orchestration push a new screen onto the stack. A breadcrumb trail above the content area shows the current path — for example,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administrator is deep in a drill-down (for example, reviewing an import) and clicks Data Browser in the sidebar, the Data Browser view appears. If they click Dashboard again, the drill-down stack is restored to its previous state.</w:t>
      </w:r>
    </w:p>
    <w:p>
      <w:pPr>
        <w:pStyle w:val="Heading3"/>
        <w:spacing w:after="120" w:before="240"/>
      </w:pPr>
      <w:r>
        <w:rPr>
          <w:rFonts w:ascii="Arial" w:cs="Arial" w:eastAsia="Arial" w:hAnsi="Arial"/>
          <w:b/>
          <w:bCs/>
          <w:color w:val="1F3864"/>
          <w:sz w:val="22"/>
          <w:szCs w:val="22"/>
        </w:rPr>
        <w:t xml:space="preserve">14.1.3 Client Selection and Context</w:t>
      </w:r>
    </w:p>
    <w:p>
      <w:pPr>
        <w:spacing w:after="160"/>
      </w:pPr>
      <w:r>
        <w:rPr>
          <w:rFonts w:ascii="Arial" w:cs="Arial" w:eastAsia="Arial" w:hAnsi="Arial"/>
          <w:color w:val="000000"/>
          <w:sz w:val="22"/>
          <w:szCs w:val="22"/>
        </w:rPr>
        <w:t xml:space="preserve">Requirements mode operates on a single client implementation at a time. A client selector appears above the sidebar, displaying the currently selected client name. The selector draws from the master database’s Client table. Changing the client resets all Requirements mode state — the Dashboard reloads, the drill-down stack clears, and any in-progress review or import is discarded with a confirmation prompt if unsaved work exists.</w:t>
      </w:r>
    </w:p>
    <w:p>
      <w:pPr>
        <w:spacing w:after="160"/>
      </w:pPr>
      <w:r>
        <w:rPr>
          <w:rFonts w:ascii="Arial" w:cs="Arial" w:eastAsia="Arial" w:hAnsi="Arial"/>
          <w:color w:val="000000"/>
          <w:sz w:val="22"/>
          <w:szCs w:val="22"/>
        </w:rPr>
        <w:t xml:space="preserve">When a client’s Client record has an associated CRM instance (the crm_platform field is populated and a matching instance profile exists), switching to Deployment mode auto-selects that instance. If no association exists, switching to Deployment mode leaves the instance selection unchanged. The administrator can always override the instance selection manually in Deployment mode.</w:t>
      </w:r>
    </w:p>
    <w:p>
      <w:pPr>
        <w:spacing w:after="160"/>
      </w:pPr>
      <w:r>
        <w:rPr>
          <w:rFonts w:ascii="Arial" w:cs="Arial" w:eastAsia="Arial" w:hAnsi="Arial"/>
          <w:color w:val="000000"/>
          <w:sz w:val="22"/>
          <w:szCs w:val="22"/>
        </w:rPr>
        <w:t xml:space="preserve">The client context is available to every screen in Requirements mode. All database queries, prompt generation, import processing, and document generation operate against the selected client’s database file.</w:t>
      </w:r>
    </w:p>
    <w:p>
      <w:pPr>
        <w:pStyle w:val="Heading2"/>
        <w:spacing w:after="160" w:before="280"/>
      </w:pPr>
      <w:r>
        <w:rPr>
          <w:rFonts w:ascii="Arial" w:cs="Arial" w:eastAsia="Arial" w:hAnsi="Arial"/>
          <w:b/>
          <w:bCs/>
          <w:color w:val="1F3864"/>
          <w:sz w:val="24"/>
          <w:szCs w:val="24"/>
        </w:rPr>
        <w:t xml:space="preserve">14.2 Project Dashboard</w:t>
      </w:r>
    </w:p>
    <w:p>
      <w:pPr>
        <w:spacing w:after="160"/>
      </w:pPr>
      <w:r>
        <w:rPr>
          <w:rFonts w:ascii="Arial" w:cs="Arial" w:eastAsia="Arial" w:hAnsi="Arial"/>
          <w:color w:val="000000"/>
          <w:sz w:val="22"/>
          <w:szCs w:val="22"/>
        </w:rPr>
        <w:t xml:space="preserve">The Project Dashboard is the default view in Requirements mode and the administrator’s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administrator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administrator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administrator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defined in the table below. This mapping is not stored in the database because it is defined by the methodology and does not vary per client. For three item_types (domain_overview, process_definition, domain_reconciliation), the phase number depends on whether the related Domain has is_service = TRUE — services consume Phase 4 (Cross-Domain Service Definition), while regular domains consume Phases 3, 5, and 6. Each phase group has a header showing the phase number, phase name, and a completion indicator (for example, “3 of 5 complete”). Within each phase, work items are listed by domain sort_order.</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Layout w:type="fixed"/>
      </w:tblPr>
      <w:tblGrid>
        <w:gridCol w:w="700"/>
        <w:gridCol w:w="2400"/>
        <w:gridCol w:w="2200"/>
        <w:gridCol w:w="4060"/>
      </w:tblGrid>
      <w:tr>
        <w:tc>
          <w:tcPr>
            <w:tcW w:type="dxa" w:w="7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 Name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item_type</w:t>
            </w:r>
          </w:p>
        </w:tc>
        <w:tc>
          <w:tcPr>
            <w:tcW w:type="dxa" w:w="40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Notes</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Entity record</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3</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 Overview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TRUE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5</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6</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 Reconciliation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7</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 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stakeholder_review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8</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 Generation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yaml_generation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9</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crm_selection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crm_deployment</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11</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crm_configuration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bl>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administrator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dashboard pushes the Work Item Detail view onto the drill-down stack. The breadcrumb updates to show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administrator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administrator selects a work item from the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administrator’s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administrator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administrator for a question or topic. On confirmation, a new AISession record is created with session_type “clarification.” The work item remains in complete status. The administrator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administrator-initiated.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administrator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administrator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administrator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administrator selects Generate Prompt from the Work Item Detail header or from a clarification session entry on the Sessions tab. The view is pushed onto the drill-down stack — for example,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administrator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administrator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administrator’s question or topic (entered when the administrator requested clarification). The administrator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administrator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administrator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administrator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administrator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administrator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administrator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administrator selects Import Results from the Work Item Detail header, pushing onto the drill-down stack — for example,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administrator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administrator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administrator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administrator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administrator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administrator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administrator’s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administrator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administrator only needs to act on records they want to change or exclude. Modify switches the record’s field values to inline edit mode — editable inputs replace the read-only field values, constrained by field type validation. The administrator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administrator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administrator clicks Commit, the view displays a commit confirmation showing the final counts: records to create, records to update, records rejected. Any remaining warnings (non-error severity) are listed. The administrator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administrator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administrator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administrator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administrator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administrator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administrator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administrator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administrator is deciding whether to proceed.</w:t>
      </w:r>
    </w:p>
    <w:p>
      <w:pPr>
        <w:spacing w:after="160"/>
      </w:pPr>
      <w:r>
        <w:rPr>
          <w:rFonts w:ascii="Arial" w:cs="Arial" w:eastAsia="Arial" w:hAnsi="Arial"/>
          <w:color w:val="000000"/>
          <w:sz w:val="22"/>
          <w:szCs w:val="22"/>
        </w:rPr>
        <w:t xml:space="preserve">Below the impact set, a rationale text field requires the administrator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administrator’s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administrator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administrator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administrator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administrator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administrator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administrator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administrator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administrator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administrator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administrator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administrator’s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administrator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administrator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administrator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Integration with Existing Panels</w:t>
      </w:r>
    </w:p>
    <w:p>
      <w:pPr>
        <w:spacing w:after="160"/>
      </w:pPr>
      <w:r>
        <w:rPr>
          <w:rFonts w:ascii="Arial" w:cs="Arial" w:eastAsia="Arial" w:hAnsi="Arial"/>
          <w:color w:val="000000"/>
          <w:sz w:val="22"/>
          <w:szCs w:val="22"/>
        </w:rPr>
        <w:t xml:space="preserve">The automation panels in Requirements mode and the existing panels in Deployment mode serve different phases of the project lifecycle. This section defines how they coexist, how the administrator transitions between them, and how the project workflow bridges the two modes.</w:t>
      </w:r>
    </w:p>
    <w:p>
      <w:pPr>
        <w:pStyle w:val="Heading3"/>
        <w:spacing w:after="120" w:before="240"/>
      </w:pPr>
      <w:r>
        <w:rPr>
          <w:rFonts w:ascii="Arial" w:cs="Arial" w:eastAsia="Arial" w:hAnsi="Arial"/>
          <w:b/>
          <w:bCs/>
          <w:color w:val="1F3864"/>
          <w:sz w:val="22"/>
          <w:szCs w:val="22"/>
        </w:rPr>
        <w:t xml:space="preserve">14.9.1 Mode Boundary</w:t>
      </w:r>
    </w:p>
    <w:p>
      <w:pPr>
        <w:spacing w:after="160"/>
      </w:pPr>
      <w:r>
        <w:rPr>
          <w:rFonts w:ascii="Arial" w:cs="Arial" w:eastAsia="Arial" w:hAnsi="Arial"/>
          <w:color w:val="000000"/>
          <w:sz w:val="22"/>
          <w:szCs w:val="22"/>
        </w:rPr>
        <w:t xml:space="preserve">Requirements mode covers Phases 1 through 9: Master PRD, Entity Definition (Business Object Discovery and Entity PRDs), Domain Overview, Cross-Domain Service Definition, Process Definition, Domain Reconciliation, Stakeholder Review, YAML Generation, and CRM Selection. All work in these phases is managed through the automation panels — Dashboard, Work Item Detail, Session Orchestration, Import Review, Data Browser, Documents, and Impact Review.</w:t>
      </w:r>
    </w:p>
    <w:p>
      <w:pPr>
        <w:spacing w:after="160"/>
      </w:pPr>
      <w:r>
        <w:rPr>
          <w:rFonts w:ascii="Arial" w:cs="Arial" w:eastAsia="Arial" w:hAnsi="Arial"/>
          <w:color w:val="000000"/>
          <w:sz w:val="22"/>
          <w:szCs w:val="22"/>
        </w:rPr>
        <w:t xml:space="preserve">Deployment mode covers Phases 9 through 11: CRM Deployment, CRM Configuration, and Verification. These phases use the existing panels — Instance, Program, Deploy, and Output — which operate on CRM instances through SSH and the CRM REST API. The existing panels are unchanged in behavior, layout, and implementation.</w:t>
      </w:r>
    </w:p>
    <w:p>
      <w:pPr>
        <w:spacing w:after="160"/>
      </w:pPr>
      <w:r>
        <w:rPr>
          <w:rFonts w:ascii="Arial" w:cs="Arial" w:eastAsia="Arial" w:hAnsi="Arial"/>
          <w:color w:val="000000"/>
          <w:sz w:val="22"/>
          <w:szCs w:val="22"/>
        </w:rPr>
        <w:t xml:space="preserve">The boundary between modes is not rigid — the administrator can switch freely at any time. However, the natural transition point is after CRM Selection (Phase 9), when the project shifts from requirements management to CRM provisioning and configuration.</w:t>
      </w:r>
    </w:p>
    <w:p>
      <w:pPr>
        <w:pStyle w:val="Heading3"/>
        <w:spacing w:after="120" w:before="240"/>
      </w:pPr>
      <w:r>
        <w:rPr>
          <w:rFonts w:ascii="Arial" w:cs="Arial" w:eastAsia="Arial" w:hAnsi="Arial"/>
          <w:b/>
          <w:bCs/>
          <w:color w:val="1F3864"/>
          <w:sz w:val="22"/>
          <w:szCs w:val="22"/>
        </w:rPr>
        <w:t xml:space="preserve">14.9.2 Transition from Requirements to Deployment</w:t>
      </w:r>
    </w:p>
    <w:p>
      <w:pPr>
        <w:spacing w:after="160"/>
      </w:pPr>
      <w:r>
        <w:rPr>
          <w:rFonts w:ascii="Arial" w:cs="Arial" w:eastAsia="Arial" w:hAnsi="Arial"/>
          <w:color w:val="000000"/>
          <w:sz w:val="22"/>
          <w:szCs w:val="22"/>
        </w:rPr>
        <w:t xml:space="preserve">When the CRM Selection work item is complete and the administrator has set Client.crm_platform, the project is ready for CRM Deployment. The Dashboard shows the crm_deployment work item as ready.</w:t>
      </w:r>
    </w:p>
    <w:p>
      <w:pPr>
        <w:spacing w:after="160"/>
      </w:pPr>
      <w:r>
        <w:rPr>
          <w:rFonts w:ascii="Arial" w:cs="Arial" w:eastAsia="Arial" w:hAnsi="Arial"/>
          <w:color w:val="000000"/>
          <w:sz w:val="22"/>
          <w:szCs w:val="22"/>
        </w:rPr>
        <w:t xml:space="preserve">The crm_deployment work item is managed in Requirements mode for status tracking — the administrator starts it, marks it complete, and its dependencies are managed by the Workflow Engine. However, the actual deployment work happens in Deployment mode using the existing Deploy panel and Deploy Wizard.</w:t>
      </w:r>
    </w:p>
    <w:p>
      <w:pPr>
        <w:spacing w:after="160"/>
      </w:pPr>
      <w:r>
        <w:rPr>
          <w:rFonts w:ascii="Arial" w:cs="Arial" w:eastAsia="Arial" w:hAnsi="Arial"/>
          <w:color w:val="000000"/>
          <w:sz w:val="22"/>
          <w:szCs w:val="22"/>
        </w:rPr>
        <w:t xml:space="preserve">When the administrator selects the crm_deployment work item on the Dashboard, the Work Item Detail view displays a guidance message explaining that deployment is performed in Deployment mode. The Mark Complete action is available once the administrator has provisioned the instance and confirmed it is operational.</w:t>
      </w:r>
    </w:p>
    <w:p>
      <w:pPr>
        <w:spacing w:after="160"/>
      </w:pPr>
      <w:r>
        <w:rPr>
          <w:rFonts w:ascii="Arial" w:cs="Arial" w:eastAsia="Arial" w:hAnsi="Arial"/>
          <w:color w:val="000000"/>
          <w:sz w:val="22"/>
          <w:szCs w:val="22"/>
        </w:rPr>
        <w:t xml:space="preserve">Similarly, the crm_configuration and verification work items are tracked in Requirements mode but executed in Deployment mode. The Program panel lists the YAML files generated by the Document Generator (Section 13.9), and the existing configuration workflow applies them to the provisioned instance.</w:t>
      </w:r>
    </w:p>
    <w:p>
      <w:pPr>
        <w:pStyle w:val="Heading3"/>
        <w:spacing w:after="120" w:before="240"/>
      </w:pPr>
      <w:r>
        <w:rPr>
          <w:rFonts w:ascii="Arial" w:cs="Arial" w:eastAsia="Arial" w:hAnsi="Arial"/>
          <w:b/>
          <w:bCs/>
          <w:color w:val="1F3864"/>
          <w:sz w:val="22"/>
          <w:szCs w:val="22"/>
        </w:rPr>
        <w:t xml:space="preserve">14.9.3 Instance Association</w:t>
      </w:r>
    </w:p>
    <w:p>
      <w:pPr>
        <w:spacing w:after="160"/>
      </w:pPr>
      <w:r>
        <w:rPr>
          <w:rFonts w:ascii="Arial" w:cs="Arial" w:eastAsia="Arial" w:hAnsi="Arial"/>
          <w:color w:val="000000"/>
          <w:sz w:val="22"/>
          <w:szCs w:val="22"/>
        </w:rPr>
        <w:t xml:space="preserve">When the administrator provisions a CRM instance during the CRM Deployment phase, the client-to-instance association is established. The Instance panel’s instance profile includes a project_folder path pointing to the client’s repository. The client selector in Requirements mode (Section 14.1.3) uses this path to identify the matching instance.</w:t>
      </w:r>
    </w:p>
    <w:p>
      <w:pPr>
        <w:spacing w:after="160"/>
      </w:pPr>
      <w:r>
        <w:rPr>
          <w:rFonts w:ascii="Arial" w:cs="Arial" w:eastAsia="Arial" w:hAnsi="Arial"/>
          <w:color w:val="000000"/>
          <w:sz w:val="22"/>
          <w:szCs w:val="22"/>
        </w:rPr>
        <w:t xml:space="preserve">Once the association exists, switching from Requirements mode to Deployment mode auto-selects the associated instance. Switching from Deployment mode to Requirements mode auto-selects the associated client. If the administrator has multiple instances or clients, they can override the auto-selection in either mode.</w:t>
      </w:r>
    </w:p>
    <w:p>
      <w:pPr>
        <w:pStyle w:val="Heading3"/>
        <w:spacing w:after="120" w:before="240"/>
      </w:pPr>
      <w:r>
        <w:rPr>
          <w:rFonts w:ascii="Arial" w:cs="Arial" w:eastAsia="Arial" w:hAnsi="Arial"/>
          <w:b/>
          <w:bCs/>
          <w:color w:val="1F3864"/>
          <w:sz w:val="22"/>
          <w:szCs w:val="22"/>
        </w:rPr>
        <w:t xml:space="preserve">14.9.4 Output Panel Availability</w:t>
      </w:r>
    </w:p>
    <w:p>
      <w:pPr>
        <w:spacing w:after="160"/>
      </w:pPr>
      <w:r>
        <w:rPr>
          <w:rFonts w:ascii="Arial" w:cs="Arial" w:eastAsia="Arial" w:hAnsi="Arial"/>
          <w:color w:val="000000"/>
          <w:sz w:val="22"/>
          <w:szCs w:val="22"/>
        </w:rPr>
        <w:t xml:space="preserve">The Output panel provides color-coded log output for deployment and configuration operations. In Deployment mode, it functions as currently implemented. In Requirements mode, the Output panel is not displayed — automation operations (prompt generation, import processing, document generation) report their status inline within their respective views rather than through a shared log panel.</w:t>
      </w:r>
    </w:p>
    <w:p>
      <w:pPr>
        <w:pStyle w:val="Heading3"/>
        <w:spacing w:after="120" w:before="240"/>
      </w:pPr>
      <w:r>
        <w:rPr>
          <w:rFonts w:ascii="Arial" w:cs="Arial" w:eastAsia="Arial" w:hAnsi="Arial"/>
          <w:b/>
          <w:bCs/>
          <w:color w:val="1F3864"/>
          <w:sz w:val="22"/>
          <w:szCs w:val="22"/>
        </w:rPr>
        <w:t xml:space="preserve">14.9.5 YAML File Handoff</w:t>
      </w:r>
    </w:p>
    <w:p>
      <w:pPr>
        <w:spacing w:after="160"/>
      </w:pPr>
      <w:r>
        <w:rPr>
          <w:rFonts w:ascii="Arial" w:cs="Arial" w:eastAsia="Arial" w:hAnsi="Arial"/>
          <w:color w:val="000000"/>
          <w:sz w:val="22"/>
          <w:szCs w:val="22"/>
        </w:rPr>
        <w:t xml:space="preserve">The Document Generator produces YAML program files in the project folder’s programs/ directory (Section 13.7.1). The Program panel in Deployment mode reads from the same directory. This creates a natural handoff — YAML files generated in Requirements mode are immediately visible in the Program panel when the administrator switches to Deployment mode.</w:t>
      </w:r>
    </w:p>
    <w:p>
      <w:pPr>
        <w:spacing w:after="160"/>
      </w:pPr>
      <w:r>
        <w:rPr>
          <w:rFonts w:ascii="Arial" w:cs="Arial" w:eastAsia="Arial" w:hAnsi="Arial"/>
          <w:color w:val="000000"/>
          <w:sz w:val="22"/>
          <w:szCs w:val="22"/>
        </w:rPr>
        <w:t xml:space="preserve">No file conversion or transfer step is needed. The Document Generator writes files in the same format and to the same location that the existing configuration workflow expects. The administrator can verify the generated YAML files through the Program panel before running configuration.</w:t>
      </w:r>
    </w:p>
    <w:p>
      <w:pPr>
        <w:pStyle w:val="Heading3"/>
        <w:spacing w:after="120" w:before="240"/>
      </w:pPr>
      <w:r>
        <w:rPr>
          <w:rFonts w:ascii="Arial" w:cs="Arial" w:eastAsia="Arial" w:hAnsi="Arial"/>
          <w:b/>
          <w:bCs/>
          <w:color w:val="1F3864"/>
          <w:sz w:val="22"/>
          <w:szCs w:val="22"/>
        </w:rPr>
        <w:t xml:space="preserve">14.9.6 Post-Deployment Feedback</w:t>
      </w:r>
    </w:p>
    <w:p>
      <w:pPr>
        <w:spacing w:after="160"/>
      </w:pPr>
      <w:r>
        <w:rPr>
          <w:rFonts w:ascii="Arial" w:cs="Arial" w:eastAsia="Arial" w:hAnsi="Arial"/>
          <w:color w:val="000000"/>
          <w:sz w:val="22"/>
          <w:szCs w:val="22"/>
        </w:rPr>
        <w:t xml:space="preserve">After CRM Configuration is complete, the administrator may discover issues that require requirements changes — a field type that does not work as expected, a layout that needs adjustment, or a relationship that needs modification. The administrator switches to Requirements mode to make these changes through the Data Browser (Section 14.8), which triggers impact analysis and maintains the audit trail.</w:t>
      </w:r>
    </w:p>
    <w:p>
      <w:pPr>
        <w:spacing w:after="160"/>
      </w:pPr>
      <w:r>
        <w:rPr>
          <w:rFonts w:ascii="Arial" w:cs="Arial" w:eastAsia="Arial" w:hAnsi="Arial"/>
          <w:color w:val="000000"/>
          <w:sz w:val="22"/>
          <w:szCs w:val="22"/>
        </w:rPr>
        <w:t xml:space="preserve">If the changes affect YAML files, the administrator regenerates the affected YAML through the Documents view (Section 14.7), then switches back to Deployment mode to reapply the updated YAML. The Workflow Engine does not automatically reopen work items for deployment-discovered issues — the administrator manages this through the normal revision workflow (Section 9.7.2) or through direct edits in the Data Browser.</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administrator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administrator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Administrator (MST-PER-003)”.</w:t>
      </w:r>
    </w:p>
    <w:p>
      <w:pPr>
        <w:spacing w:after="160"/>
      </w:pPr>
      <w:r>
        <w:rPr>
          <w:rFonts w:ascii="Arial" w:cs="Arial" w:eastAsia="Arial" w:hAnsi="Arial"/>
          <w:color w:val="000000"/>
          <w:sz w:val="22"/>
          <w:szCs w:val="22"/>
        </w:rPr>
        <w:t xml:space="preserve">This rule applies to: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administrator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administrator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administrator must resolve or cancel. Warnings inform but do not block — the administrator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administrator’s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administrator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administrator is working in. All data displayed, all queries executed, and all files generated operate within this client context. Changing the client is a deliberate action that resets all state.</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 Subsequently expanded to 12 phases with the addition of Phase 4 (Cross-Domain Service Definition); the L2 PRD was updated to match in v1.7.</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 — Complete</w:t>
      </w:r>
    </w:p>
    <w:p>
      <w:pPr>
        <w:pStyle w:val="ListParagraph"/>
        <w:numPr>
          <w:ilvl w:val="0"/>
          <w:numId w:val="2"/>
        </w:numPr>
        <w:spacing w:after="120"/>
      </w:pPr>
      <w:r>
        <w:rPr>
          <w:rFonts w:ascii="Arial" w:cs="Arial" w:eastAsia="Arial" w:hAnsi="Arial"/>
          <w:sz w:val="22"/>
          <w:szCs w:val="22"/>
        </w:rPr>
        <w:t xml:space="preserve">Design the Workflow Engine (Section 9). — Complete</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 — Complete (findings resolved in v1.6)</w:t>
      </w:r>
    </w:p>
    <w:p>
      <w:pPr>
        <w:pStyle w:val="ListParagraph"/>
        <w:numPr>
          <w:ilvl w:val="0"/>
          <w:numId w:val="2"/>
        </w:numPr>
        <w:spacing w:after="120"/>
      </w:pPr>
      <w:r>
        <w:rPr>
          <w:rFonts w:ascii="Arial" w:cs="Arial" w:eastAsia="Arial" w:hAnsi="Arial"/>
          <w:sz w:val="22"/>
          <w:szCs w:val="22"/>
        </w:rPr>
        <w:t xml:space="preserve">Implement the database layer — master and client SQLite schemas, migration support, connection management.</w:t>
      </w:r>
    </w:p>
    <w:p>
      <w:pPr>
        <w:pStyle w:val="ListParagraph"/>
        <w:numPr>
          <w:ilvl w:val="0"/>
          <w:numId w:val="2"/>
        </w:numPr>
        <w:spacing w:after="120"/>
      </w:pPr>
      <w:r>
        <w:rPr>
          <w:rFonts w:ascii="Arial" w:cs="Arial" w:eastAsia="Arial" w:hAnsi="Arial"/>
          <w:sz w:val="22"/>
          <w:szCs w:val="22"/>
        </w:rPr>
        <w:t xml:space="preserve">Implement the Workflow Engine — status model, dependency graph construction, available work calculation, status transitions.</w:t>
      </w:r>
    </w:p>
    <w:p>
      <w:pPr>
        <w:pStyle w:val="ListParagraph"/>
        <w:numPr>
          <w:ilvl w:val="0"/>
          <w:numId w:val="2"/>
        </w:numPr>
        <w:spacing w:after="120"/>
      </w:pPr>
      <w:r>
        <w:rPr>
          <w:rFonts w:ascii="Arial" w:cs="Arial" w:eastAsia="Arial" w:hAnsi="Arial"/>
          <w:sz w:val="22"/>
          <w:szCs w:val="22"/>
        </w:rPr>
        <w:t xml:space="preserve">Implement the Prompt Generator — context assembly, interview guide selection, template rendering, structured output format.</w:t>
      </w:r>
    </w:p>
    <w:p>
      <w:pPr>
        <w:pStyle w:val="ListParagraph"/>
        <w:numPr>
          <w:ilvl w:val="0"/>
          <w:numId w:val="2"/>
        </w:numPr>
        <w:spacing w:after="120"/>
      </w:pPr>
      <w:r>
        <w:rPr>
          <w:rFonts w:ascii="Arial" w:cs="Arial" w:eastAsia="Arial" w:hAnsi="Arial"/>
          <w:sz w:val="22"/>
          <w:szCs w:val="22"/>
        </w:rPr>
        <w:t xml:space="preserve">Implement the Import Processor — mapper pipeline, conflict detection, commit with downstream triggers, identifier management.</w:t>
      </w:r>
    </w:p>
    <w:p>
      <w:pPr>
        <w:pStyle w:val="ListParagraph"/>
        <w:numPr>
          <w:ilvl w:val="0"/>
          <w:numId w:val="2"/>
        </w:numPr>
        <w:spacing w:after="120"/>
      </w:pPr>
      <w:r>
        <w:rPr>
          <w:rFonts w:ascii="Arial" w:cs="Arial" w:eastAsia="Arial" w:hAnsi="Arial"/>
          <w:sz w:val="22"/>
          <w:szCs w:val="22"/>
        </w:rPr>
        <w:t xml:space="preserve">Implement the Impact Analysis Engine — cross-reference queries, change tracing, deduplication, pre-commit and post-commit modes.</w:t>
      </w:r>
    </w:p>
    <w:p>
      <w:pPr>
        <w:pStyle w:val="ListParagraph"/>
        <w:numPr>
          <w:ilvl w:val="0"/>
          <w:numId w:val="2"/>
        </w:numPr>
        <w:spacing w:after="120"/>
      </w:pPr>
      <w:r>
        <w:rPr>
          <w:rFonts w:ascii="Arial" w:cs="Arial" w:eastAsia="Arial" w:hAnsi="Arial"/>
          <w:sz w:val="22"/>
          <w:szCs w:val="22"/>
        </w:rPr>
        <w:t xml:space="preserve">Implement the Document Generator — Word document generation from database, staleness tracking, regeneration.</w:t>
      </w:r>
    </w:p>
    <w:p>
      <w:pPr>
        <w:pStyle w:val="ListParagraph"/>
        <w:numPr>
          <w:ilvl w:val="0"/>
          <w:numId w:val="2"/>
        </w:numPr>
        <w:spacing w:after="120"/>
      </w:pPr>
      <w:r>
        <w:rPr>
          <w:rFonts w:ascii="Arial" w:cs="Arial" w:eastAsia="Arial" w:hAnsi="Arial"/>
          <w:sz w:val="22"/>
          <w:szCs w:val="22"/>
        </w:rPr>
        <w:t xml:space="preserve">Implement the User Interface — Requirements mode, Project Dashboard, Work Item Detail, sidebars, Data Browser.</w:t>
      </w:r>
    </w:p>
    <w:p>
      <w:pPr>
        <w:pStyle w:val="ListParagraph"/>
        <w:numPr>
          <w:ilvl w:val="0"/>
          <w:numId w:val="2"/>
        </w:numPr>
        <w:spacing w:after="120"/>
      </w:pPr>
      <w:r>
        <w:rPr>
          <w:rFonts w:ascii="Arial" w:cs="Arial" w:eastAsia="Arial" w:hAnsi="Arial"/>
          <w:sz w:val="22"/>
          <w:szCs w:val="22"/>
        </w:rPr>
        <w:t xml:space="preserve">Integration testing with CBM data — end-to-end validation using Cleveland Business Mentors as the proof-of-concept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