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Master PRD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Cleveland Business Mentors</w:t>
            </w:r>
          </w:p>
        </w:tc>
      </w:tr>
    </w:tbl>
    <w:p>
      <w:pPr>
        <w:pStyle w:val="Heading1"/>
      </w:pPr>
      <w:r>
        <w:t>1. Organization Overview</w:t>
      </w:r>
    </w:p>
    <w:p>
      <w:r>
        <w:t>Cleveland Business Mentors (CBM) is a nonprofit providing free business mentoring to entrepreneurs and small businesses in Northeast Ohio. CBM connects volunteer mentors with clients through a structured engagement process.</w:t>
      </w:r>
    </w:p>
    <w:p>
      <w:pPr>
        <w:pStyle w:val="Heading1"/>
      </w:pPr>
      <w:r>
        <w:t>2. Personas</w:t>
      </w:r>
    </w:p>
    <w:p>
      <w:r>
        <w:t>MST-PER-001: System Administrator — Manages CRM configuration and user access</w:t>
      </w:r>
    </w:p>
    <w:p>
      <w:r>
        <w:t>MST-PER-002: Executive Member — Strategic oversight and reporting</w:t>
      </w:r>
    </w:p>
    <w:p>
      <w:r>
        <w:t>MST-PER-003: Client Administrator — Manages client intake and engagement lifecycle</w:t>
      </w:r>
    </w:p>
    <w:p>
      <w:r>
        <w:t>MST-PER-011: Mentor — Volunteer mentor providing business guidance</w:t>
      </w:r>
    </w:p>
    <w:p>
      <w:r>
        <w:t>MST-PER-013: Client — Individual or business receiving mentoring</w:t>
      </w:r>
    </w:p>
    <w:p>
      <w:pPr>
        <w:pStyle w:val="Heading1"/>
      </w:pPr>
      <w:r>
        <w:t>3. Business Domains</w:t>
      </w:r>
    </w:p>
    <w:p>
      <w:r>
        <w:t>MN — Mentoring: Core engagement lifecycle from intake through closure</w:t>
      </w:r>
    </w:p>
    <w:p>
      <w:r>
        <w:t>MR — Mentor Recruitment: Recruiting, onboarding, and managing mentor volunteers</w:t>
      </w:r>
    </w:p>
    <w:p>
      <w:pPr>
        <w:pStyle w:val="Heading1"/>
      </w:pPr>
      <w:r>
        <w:t>4. Process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</w:tr>
      <w:tr>
        <w:tc>
          <w:tcPr>
            <w:tcW w:type="dxa" w:w="2880"/>
          </w:tcPr>
          <w:p>
            <w:r>
              <w:t>MN-INTAKE</w:t>
            </w:r>
          </w:p>
        </w:tc>
        <w:tc>
          <w:tcPr>
            <w:tcW w:type="dxa" w:w="2880"/>
          </w:tcPr>
          <w:p>
            <w:r>
              <w:t>Client Intake</w:t>
            </w:r>
          </w:p>
        </w:tc>
        <w:tc>
          <w:tcPr>
            <w:tcW w:type="dxa" w:w="2880"/>
          </w:tcPr>
          <w:p>
            <w:r>
              <w:t>MN</w:t>
            </w:r>
          </w:p>
        </w:tc>
      </w:tr>
      <w:tr>
        <w:tc>
          <w:tcPr>
            <w:tcW w:type="dxa" w:w="2880"/>
          </w:tcPr>
          <w:p>
            <w:r>
              <w:t>MN-MATCH</w:t>
            </w:r>
          </w:p>
        </w:tc>
        <w:tc>
          <w:tcPr>
            <w:tcW w:type="dxa" w:w="2880"/>
          </w:tcPr>
          <w:p>
            <w:r>
              <w:t>Mentor Matching</w:t>
            </w:r>
          </w:p>
        </w:tc>
        <w:tc>
          <w:tcPr>
            <w:tcW w:type="dxa" w:w="2880"/>
          </w:tcPr>
          <w:p>
            <w:r>
              <w:t>MN</w:t>
            </w:r>
          </w:p>
        </w:tc>
      </w:tr>
      <w:tr>
        <w:tc>
          <w:tcPr>
            <w:tcW w:type="dxa" w:w="2880"/>
          </w:tcPr>
          <w:p>
            <w:r>
              <w:t>MR-RECRUIT</w:t>
            </w:r>
          </w:p>
        </w:tc>
        <w:tc>
          <w:tcPr>
            <w:tcW w:type="dxa" w:w="2880"/>
          </w:tcPr>
          <w:p>
            <w:r>
              <w:t>Mentor Recruitment</w:t>
            </w:r>
          </w:p>
        </w:tc>
        <w:tc>
          <w:tcPr>
            <w:tcW w:type="dxa" w:w="2880"/>
          </w:tcPr>
          <w:p>
            <w:r>
              <w:t>MR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