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3000"/>
      </w:pPr>
    </w:p>
    <w:p>
      <w:pPr>
        <w:spacing w:after="200"/>
        <w:jc w:val="center"/>
      </w:pPr>
      <w:r>
        <w:rPr>
          <w:rFonts w:ascii="Arial" w:cs="Arial" w:eastAsia="Arial" w:hAnsi="Arial"/>
          <w:b/>
          <w:bCs/>
          <w:color w:val="1F3864"/>
          <w:sz w:val="52"/>
          <w:szCs w:val="52"/>
        </w:rPr>
        <w:t xml:space="preserve">Mentor Engagement Application</w:t>
      </w:r>
    </w:p>
    <w:p>
      <w:pPr>
        <w:spacing w:after="200"/>
        <w:jc w:val="center"/>
      </w:pPr>
      <w:r>
        <w:rPr>
          <w:rFonts w:ascii="Arial" w:cs="Arial" w:eastAsia="Arial" w:hAnsi="Arial"/>
          <w:color w:val="1F3864"/>
          <w:sz w:val="28"/>
          <w:szCs w:val="28"/>
        </w:rPr>
        <w:t xml:space="preserve">Product Requirements Document — Level 2 (Functional Specification)</w:t>
      </w:r>
    </w:p>
    <w:p>
      <w:pPr>
        <w:spacing w:after="600"/>
        <w:jc w:val="center"/>
      </w:pPr>
      <w:r>
        <w:rPr>
          <w:rFonts w:ascii="Arial" w:cs="Arial" w:eastAsia="Arial" w:hAnsi="Arial"/>
          <w:color w:val="888888"/>
          <w:sz w:val="24"/>
          <w:szCs w:val="24"/>
        </w:rPr>
        <w:t xml:space="preserve">Cleveland Business Mentors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22"/>
                <w:szCs w:val="22"/>
              </w:rPr>
              <w:t xml:space="preserve">Field</w:t>
            </w:r>
          </w:p>
        </w:tc>
        <w:tc>
          <w:tcPr>
            <w:tcW w:type="dxa" w:w="696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22"/>
                <w:szCs w:val="22"/>
              </w:rPr>
              <w:t xml:space="preserve">Value</w:t>
            </w:r>
          </w:p>
        </w:tc>
      </w:tr>
      <w:tr>
        <w:tc>
          <w:tcPr>
            <w:tcW w:type="dxa" w:w="24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sz w:val="22"/>
                <w:szCs w:val="22"/>
              </w:rPr>
              <w:t xml:space="preserve">Version</w:t>
            </w:r>
          </w:p>
        </w:tc>
        <w:tc>
          <w:tcPr>
            <w:tcW w:type="dxa" w:w="6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sz w:val="22"/>
                <w:szCs w:val="22"/>
              </w:rPr>
              <w:t xml:space="preserve">1.2</w:t>
            </w:r>
          </w:p>
        </w:tc>
      </w:tr>
      <w:tr>
        <w:tc>
          <w:tcPr>
            <w:tcW w:type="dxa" w:w="24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sz w:val="22"/>
                <w:szCs w:val="22"/>
              </w:rPr>
              <w:t xml:space="preserve">Status</w:t>
            </w:r>
          </w:p>
        </w:tc>
        <w:tc>
          <w:tcPr>
            <w:tcW w:type="dxa" w:w="6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sz w:val="22"/>
                <w:szCs w:val="22"/>
              </w:rPr>
              <w:t xml:space="preserve">Draft</w:t>
            </w:r>
          </w:p>
        </w:tc>
      </w:tr>
      <w:tr>
        <w:tc>
          <w:tcPr>
            <w:tcW w:type="dxa" w:w="24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sz w:val="22"/>
                <w:szCs w:val="22"/>
              </w:rPr>
              <w:t xml:space="preserve">Author</w:t>
            </w:r>
          </w:p>
        </w:tc>
        <w:tc>
          <w:tcPr>
            <w:tcW w:type="dxa" w:w="6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sz w:val="22"/>
                <w:szCs w:val="22"/>
              </w:rPr>
              <w:t xml:space="preserve">D. Bower</w:t>
            </w:r>
          </w:p>
        </w:tc>
      </w:tr>
      <w:tr>
        <w:tc>
          <w:tcPr>
            <w:tcW w:type="dxa" w:w="24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sz w:val="22"/>
                <w:szCs w:val="22"/>
              </w:rPr>
              <w:t xml:space="preserve">Last Updated</w:t>
            </w:r>
          </w:p>
        </w:tc>
        <w:tc>
          <w:tcPr>
            <w:tcW w:type="dxa" w:w="6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sz w:val="22"/>
                <w:szCs w:val="22"/>
              </w:rPr>
              <w:t xml:space="preserve">04-02-26 23:00</w:t>
            </w:r>
          </w:p>
        </w:tc>
      </w:tr>
      <w:tr>
        <w:tc>
          <w:tcPr>
            <w:tcW w:type="dxa" w:w="24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sz w:val="22"/>
                <w:szCs w:val="22"/>
              </w:rPr>
              <w:t xml:space="preserve">Related Document</w:t>
            </w:r>
          </w:p>
        </w:tc>
        <w:tc>
          <w:tcPr>
            <w:tcW w:type="dxa" w:w="6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sz w:val="22"/>
                <w:szCs w:val="22"/>
              </w:rPr>
              <w:t xml:space="preserve">Mentor Engagement Application — Level 1 (Strategic Vision) v1.0</w:t>
            </w:r>
          </w:p>
        </w:tc>
      </w:tr>
    </w:tbl>
    <w:p/>
    <w:p>
      <w:r>
        <w:br w:type="page"/>
      </w:r>
    </w:p>
    <w:p>
      <w:pPr>
        <w:pStyle w:val="Heading1"/>
        <w:spacing w:after="200" w:before="360"/>
      </w:pPr>
      <w:r>
        <w:rPr>
          <w:rFonts w:ascii="Arial" w:cs="Arial" w:eastAsia="Arial" w:hAnsi="Arial"/>
          <w:b/>
          <w:bCs/>
          <w:color w:val="1F3864"/>
          <w:sz w:val="28"/>
          <w:szCs w:val="28"/>
        </w:rPr>
        <w:t xml:space="preserve">1. Introduction</w:t>
      </w:r>
    </w:p>
    <w:p>
      <w:pPr>
        <w:pStyle w:val="Heading2"/>
        <w:spacing w:after="160" w:before="280"/>
      </w:pPr>
      <w:r>
        <w:rPr>
          <w:rFonts w:ascii="Arial" w:cs="Arial" w:eastAsia="Arial" w:hAnsi="Arial"/>
          <w:b/>
          <w:bCs/>
          <w:color w:val="1F3864"/>
          <w:sz w:val="24"/>
          <w:szCs w:val="24"/>
        </w:rPr>
        <w:t xml:space="preserve">1.1 Purpose</w:t>
      </w:r>
    </w:p>
    <w:p>
      <w:pPr>
        <w:spacing w:after="160"/>
      </w:pPr>
      <w:r>
        <w:rPr>
          <w:rFonts w:ascii="Arial" w:cs="Arial" w:eastAsia="Arial" w:hAnsi="Arial"/>
          <w:color w:val="000000"/>
          <w:sz w:val="22"/>
          <w:szCs w:val="22"/>
        </w:rPr>
        <w:t xml:space="preserve">This document defines the functional specification for the Mentor Engagement Application, expanding the strategic vision established in the Level 1 PRD into detailed requirements for user roles, view configuration, data access, API design, authentication, external integrations, and deployment. It provides sufficient detail to guide technology selection, architecture decisions, and proof-of-concept development.</w:t>
      </w:r>
    </w:p>
    <w:p>
      <w:pPr>
        <w:pStyle w:val="Heading2"/>
        <w:spacing w:after="160" w:before="280"/>
      </w:pPr>
      <w:r>
        <w:rPr>
          <w:rFonts w:ascii="Arial" w:cs="Arial" w:eastAsia="Arial" w:hAnsi="Arial"/>
          <w:b/>
          <w:bCs/>
          <w:color w:val="1F3864"/>
          <w:sz w:val="24"/>
          <w:szCs w:val="24"/>
        </w:rPr>
        <w:t xml:space="preserve">1.2 Relationship to Level 1</w:t>
      </w:r>
    </w:p>
    <w:p>
      <w:pPr>
        <w:spacing w:after="160"/>
      </w:pPr>
      <w:r>
        <w:rPr>
          <w:rFonts w:ascii="Arial" w:cs="Arial" w:eastAsia="Arial" w:hAnsi="Arial"/>
          <w:color w:val="000000"/>
          <w:sz w:val="22"/>
          <w:szCs w:val="22"/>
        </w:rPr>
        <w:t xml:space="preserve">This document implements the vision, goals, and scope boundaries defined in the Level 1 PRD. Where the Level 1 describes what the application should accomplish, this document describes how it should work. All design decisions in this document are traceable to the strategic goals and scope boundaries in the Level 1.</w:t>
      </w:r>
    </w:p>
    <w:p>
      <w:pPr>
        <w:pStyle w:val="Heading2"/>
        <w:spacing w:after="160" w:before="280"/>
      </w:pPr>
      <w:r>
        <w:rPr>
          <w:rFonts w:ascii="Arial" w:cs="Arial" w:eastAsia="Arial" w:hAnsi="Arial"/>
          <w:b/>
          <w:bCs/>
          <w:color w:val="1F3864"/>
          <w:sz w:val="24"/>
          <w:szCs w:val="24"/>
        </w:rPr>
        <w:t xml:space="preserve">1.3 Assumptions</w:t>
      </w:r>
    </w:p>
    <w:p>
      <w:pPr>
        <w:pStyle w:val="ListParagraph"/>
        <w:numPr>
          <w:ilvl w:val="0"/>
          <w:numId w:val="2"/>
        </w:numPr>
        <w:spacing w:after="80"/>
      </w:pPr>
      <w:r>
        <w:rPr>
          <w:rFonts w:ascii="Arial" w:cs="Arial" w:eastAsia="Arial" w:hAnsi="Arial"/>
          <w:sz w:val="22"/>
          <w:szCs w:val="22"/>
        </w:rPr>
        <w:t xml:space="preserve">The CRM system provides a REST API capable of handling all create, update, and delete operations with full business rule enforcement.</w:t>
      </w:r>
    </w:p>
    <w:p>
      <w:pPr>
        <w:pStyle w:val="ListParagraph"/>
        <w:numPr>
          <w:ilvl w:val="0"/>
          <w:numId w:val="2"/>
        </w:numPr>
        <w:spacing w:after="80"/>
      </w:pPr>
      <w:r>
        <w:rPr>
          <w:rFonts w:ascii="Arial" w:cs="Arial" w:eastAsia="Arial" w:hAnsi="Arial"/>
          <w:sz w:val="22"/>
          <w:szCs w:val="22"/>
        </w:rPr>
        <w:t xml:space="preserve">The CRM database is directly accessible from the application’s backend service via the Docker network.</w:t>
      </w:r>
    </w:p>
    <w:p>
      <w:pPr>
        <w:pStyle w:val="ListParagraph"/>
        <w:numPr>
          <w:ilvl w:val="0"/>
          <w:numId w:val="2"/>
        </w:numPr>
        <w:spacing w:after="80"/>
      </w:pPr>
      <w:r>
        <w:rPr>
          <w:rFonts w:ascii="Arial" w:cs="Arial" w:eastAsia="Arial" w:hAnsi="Arial"/>
          <w:sz w:val="22"/>
          <w:szCs w:val="22"/>
        </w:rPr>
        <w:t xml:space="preserve">The CRM’s user authentication system supports credential validation via API.</w:t>
      </w:r>
    </w:p>
    <w:p>
      <w:pPr>
        <w:pStyle w:val="ListParagraph"/>
        <w:numPr>
          <w:ilvl w:val="0"/>
          <w:numId w:val="2"/>
        </w:numPr>
        <w:spacing w:after="80"/>
      </w:pPr>
      <w:r>
        <w:rPr>
          <w:rFonts w:ascii="Arial" w:cs="Arial" w:eastAsia="Arial" w:hAnsi="Arial"/>
          <w:sz w:val="22"/>
          <w:szCs w:val="22"/>
        </w:rPr>
        <w:t xml:space="preserve">The CRM uses a role-based security model with security teams that can be read programmatically.</w:t>
      </w:r>
    </w:p>
    <w:p>
      <w:pPr>
        <w:pStyle w:val="ListParagraph"/>
        <w:numPr>
          <w:ilvl w:val="0"/>
          <w:numId w:val="2"/>
        </w:numPr>
        <w:spacing w:after="80"/>
      </w:pPr>
      <w:r>
        <w:rPr>
          <w:rFonts w:ascii="Arial" w:cs="Arial" w:eastAsia="Arial" w:hAnsi="Arial"/>
          <w:sz w:val="22"/>
          <w:szCs w:val="22"/>
        </w:rPr>
        <w:t xml:space="preserve">The organization uses Google Workspace for email and calendar.</w:t>
      </w:r>
    </w:p>
    <w:p>
      <w:pPr>
        <w:pStyle w:val="ListParagraph"/>
        <w:numPr>
          <w:ilvl w:val="0"/>
          <w:numId w:val="2"/>
        </w:numPr>
        <w:spacing w:after="80"/>
      </w:pPr>
      <w:r>
        <w:rPr>
          <w:rFonts w:ascii="Arial" w:cs="Arial" w:eastAsia="Arial" w:hAnsi="Arial"/>
          <w:sz w:val="22"/>
          <w:szCs w:val="22"/>
        </w:rPr>
        <w:t xml:space="preserve">The expected user base is under 100 concurrent users.</w:t>
      </w:r>
    </w:p>
    <w:p>
      <w:pPr>
        <w:pStyle w:val="Heading2"/>
        <w:spacing w:after="160" w:before="280"/>
      </w:pPr>
      <w:r>
        <w:rPr>
          <w:rFonts w:ascii="Arial" w:cs="Arial" w:eastAsia="Arial" w:hAnsi="Arial"/>
          <w:b/>
          <w:bCs/>
          <w:color w:val="1F3864"/>
          <w:sz w:val="24"/>
          <w:szCs w:val="24"/>
        </w:rPr>
        <w:t xml:space="preserve">1.4 Technology Stack</w:t>
      </w:r>
    </w:p>
    <w:p>
      <w:pPr>
        <w:spacing w:after="160"/>
      </w:pPr>
      <w:r>
        <w:rPr>
          <w:rFonts w:ascii="Arial" w:cs="Arial" w:eastAsia="Arial" w:hAnsi="Arial"/>
          <w:color w:val="000000"/>
          <w:sz w:val="22"/>
          <w:szCs w:val="22"/>
        </w:rPr>
        <w:t xml:space="preserve">The following technology choices have been made for the initial implementation:</w:t>
      </w:r>
    </w:p>
    <w:p>
      <w:pPr>
        <w:pStyle w:val="ListParagraph"/>
        <w:numPr>
          <w:ilvl w:val="0"/>
          <w:numId w:val="2"/>
        </w:numPr>
        <w:spacing w:after="80"/>
      </w:pPr>
      <w:r>
        <w:rPr>
          <w:rFonts w:ascii="Arial" w:cs="Arial" w:eastAsia="Arial" w:hAnsi="Arial"/>
          <w:b/>
          <w:bCs/>
          <w:sz w:val="22"/>
          <w:szCs w:val="22"/>
        </w:rPr>
        <w:t xml:space="preserve">Backend: </w:t>
      </w:r>
      <w:r>
        <w:rPr>
          <w:rFonts w:ascii="Arial" w:cs="Arial" w:eastAsia="Arial" w:hAnsi="Arial"/>
          <w:sz w:val="22"/>
          <w:szCs w:val="22"/>
        </w:rPr>
        <w:t xml:space="preserve">Python with FastAPI. FastAPI provides an async-native REST API framework with built-in request validation and automatic API documentation. Python aligns with the existing CRM Builder toolchain.</w:t>
      </w:r>
    </w:p>
    <w:p>
      <w:pPr>
        <w:pStyle w:val="ListParagraph"/>
        <w:numPr>
          <w:ilvl w:val="0"/>
          <w:numId w:val="2"/>
        </w:numPr>
        <w:spacing w:after="80"/>
      </w:pPr>
      <w:r>
        <w:rPr>
          <w:rFonts w:ascii="Arial" w:cs="Arial" w:eastAsia="Arial" w:hAnsi="Arial"/>
          <w:b/>
          <w:bCs/>
          <w:sz w:val="22"/>
          <w:szCs w:val="22"/>
        </w:rPr>
        <w:t xml:space="preserve">Frontend: </w:t>
      </w:r>
      <w:r>
        <w:rPr>
          <w:rFonts w:ascii="Arial" w:cs="Arial" w:eastAsia="Arial" w:hAnsi="Arial"/>
          <w:sz w:val="22"/>
          <w:szCs w:val="22"/>
        </w:rPr>
        <w:t xml:space="preserve">React with TypeScript. React provides the strongest ecosystem for complex data grid components (hierarchical expand/collapse, column filtering, multi-column sorting). TypeScript adds type safety appropriate for the application’s complexity.</w:t>
      </w:r>
    </w:p>
    <w:p>
      <w:pPr>
        <w:pStyle w:val="ListParagraph"/>
        <w:numPr>
          <w:ilvl w:val="0"/>
          <w:numId w:val="2"/>
        </w:numPr>
        <w:spacing w:after="80"/>
      </w:pPr>
      <w:r>
        <w:rPr>
          <w:rFonts w:ascii="Arial" w:cs="Arial" w:eastAsia="Arial" w:hAnsi="Arial"/>
          <w:b/>
          <w:bCs/>
          <w:sz w:val="22"/>
          <w:szCs w:val="22"/>
        </w:rPr>
        <w:t xml:space="preserve">Database: </w:t>
      </w:r>
      <w:r>
        <w:rPr>
          <w:rFonts w:ascii="Arial" w:cs="Arial" w:eastAsia="Arial" w:hAnsi="Arial"/>
          <w:sz w:val="22"/>
          <w:szCs w:val="22"/>
        </w:rPr>
        <w:t xml:space="preserve">Shared CRM database with dedicated table prefix for application configuration data.</w:t>
      </w:r>
    </w:p>
    <w:p>
      <w:pPr>
        <w:pStyle w:val="ListParagraph"/>
        <w:numPr>
          <w:ilvl w:val="0"/>
          <w:numId w:val="2"/>
        </w:numPr>
        <w:spacing w:after="80"/>
      </w:pPr>
      <w:r>
        <w:rPr>
          <w:rFonts w:ascii="Arial" w:cs="Arial" w:eastAsia="Arial" w:hAnsi="Arial"/>
          <w:b/>
          <w:bCs/>
          <w:sz w:val="22"/>
          <w:szCs w:val="22"/>
        </w:rPr>
        <w:t xml:space="preserve">Deployment: </w:t>
      </w:r>
      <w:r>
        <w:rPr>
          <w:rFonts w:ascii="Arial" w:cs="Arial" w:eastAsia="Arial" w:hAnsi="Arial"/>
          <w:sz w:val="22"/>
          <w:szCs w:val="22"/>
        </w:rPr>
        <w:t xml:space="preserve">Docker container alongside the CRM on the same server.</w:t>
      </w:r>
    </w:p>
    <w:p>
      <w:r>
        <w:br w:type="page"/>
      </w:r>
    </w:p>
    <w:p>
      <w:pPr>
        <w:pStyle w:val="Heading1"/>
        <w:spacing w:after="200" w:before="360"/>
      </w:pPr>
      <w:r>
        <w:rPr>
          <w:rFonts w:ascii="Arial" w:cs="Arial" w:eastAsia="Arial" w:hAnsi="Arial"/>
          <w:b/>
          <w:bCs/>
          <w:color w:val="1F3864"/>
          <w:sz w:val="28"/>
          <w:szCs w:val="28"/>
        </w:rPr>
        <w:t xml:space="preserve">2. User Roles and Permissions</w:t>
      </w:r>
    </w:p>
    <w:p>
      <w:pPr>
        <w:pStyle w:val="Heading2"/>
        <w:spacing w:after="160" w:before="280"/>
      </w:pPr>
      <w:r>
        <w:rPr>
          <w:rFonts w:ascii="Arial" w:cs="Arial" w:eastAsia="Arial" w:hAnsi="Arial"/>
          <w:b/>
          <w:bCs/>
          <w:color w:val="1F3864"/>
          <w:sz w:val="24"/>
          <w:szCs w:val="24"/>
        </w:rPr>
        <w:t xml:space="preserve">2.1 Overview</w:t>
      </w:r>
    </w:p>
    <w:p>
      <w:pPr>
        <w:spacing w:after="160"/>
      </w:pPr>
      <w:r>
        <w:rPr>
          <w:rFonts w:ascii="Arial" w:cs="Arial" w:eastAsia="Arial" w:hAnsi="Arial"/>
          <w:color w:val="000000"/>
          <w:sz w:val="22"/>
          <w:szCs w:val="22"/>
        </w:rPr>
        <w:t xml:space="preserve">The application defines three roles arranged in a hierarchical permission model. Each higher role inherits all capabilities of the roles below it. Role assignment is determined by the user’s CRM security team membership, mapped through a configurable role-mapping table maintained by the Super Admin.</w:t>
      </w:r>
    </w:p>
    <w:p>
      <w:pPr>
        <w:pStyle w:val="Heading2"/>
        <w:spacing w:after="160" w:before="280"/>
      </w:pPr>
      <w:r>
        <w:rPr>
          <w:rFonts w:ascii="Arial" w:cs="Arial" w:eastAsia="Arial" w:hAnsi="Arial"/>
          <w:b/>
          <w:bCs/>
          <w:color w:val="1F3864"/>
          <w:sz w:val="24"/>
          <w:szCs w:val="24"/>
        </w:rPr>
        <w:t xml:space="preserve">2.2 Role Definitions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3200"/>
        <w:gridCol w:w="4360"/>
      </w:tblGrid>
      <w:tr>
        <w:trPr>
          <w:tblHeader/>
        </w:trPr>
        <w:tc>
          <w:tcPr>
            <w:tcW w:type="dxa" w:w="18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22"/>
                <w:szCs w:val="22"/>
              </w:rPr>
              <w:t xml:space="preserve">Role</w:t>
            </w:r>
          </w:p>
        </w:tc>
        <w:tc>
          <w:tcPr>
            <w:tcW w:type="dxa" w:w="3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22"/>
                <w:szCs w:val="22"/>
              </w:rPr>
              <w:t xml:space="preserve">Data Visibility</w:t>
            </w:r>
          </w:p>
        </w:tc>
        <w:tc>
          <w:tcPr>
            <w:tcW w:type="dxa" w:w="436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22"/>
                <w:szCs w:val="22"/>
              </w:rPr>
              <w:t xml:space="preserve">Capabilities</w:t>
            </w:r>
          </w:p>
        </w:tc>
      </w:tr>
      <w:tr>
        <w:tc>
          <w:tcPr>
            <w:tcW w:type="dxa" w:w="18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sz w:val="22"/>
                <w:szCs w:val="22"/>
              </w:rPr>
              <w:t xml:space="preserve">Mentor</w:t>
            </w:r>
          </w:p>
        </w:tc>
        <w:tc>
          <w:tcPr>
            <w:tcW w:type="dxa" w:w="3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sz w:val="22"/>
                <w:szCs w:val="22"/>
              </w:rPr>
              <w:t xml:space="preserve">Own assigned clients only</w:t>
            </w:r>
          </w:p>
        </w:tc>
        <w:tc>
          <w:tcPr>
            <w:tcW w:type="dxa" w:w="43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sz w:val="22"/>
                <w:szCs w:val="22"/>
              </w:rPr>
              <w:t xml:space="preserve">Use any active view; open detail screens; edit records; create sessions; add relationships; send session summaries; create calendar invites</w:t>
            </w:r>
          </w:p>
        </w:tc>
      </w:tr>
      <w:tr>
        <w:tc>
          <w:tcPr>
            <w:tcW w:type="dxa" w:w="18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sz w:val="22"/>
                <w:szCs w:val="22"/>
              </w:rPr>
              <w:t xml:space="preserve">Admin</w:t>
            </w:r>
          </w:p>
        </w:tc>
        <w:tc>
          <w:tcPr>
            <w:tcW w:type="dxa" w:w="3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sz w:val="22"/>
                <w:szCs w:val="22"/>
              </w:rPr>
              <w:t xml:space="preserve">All clients</w:t>
            </w:r>
          </w:p>
        </w:tc>
        <w:tc>
          <w:tcPr>
            <w:tcW w:type="dxa" w:w="43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sz w:val="22"/>
                <w:szCs w:val="22"/>
              </w:rPr>
              <w:t xml:space="preserve">All Mentor capabilities plus: create, edit, and deactivate views on existing data sources</w:t>
            </w:r>
          </w:p>
        </w:tc>
      </w:tr>
      <w:tr>
        <w:tc>
          <w:tcPr>
            <w:tcW w:type="dxa" w:w="18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sz w:val="22"/>
                <w:szCs w:val="22"/>
              </w:rPr>
              <w:t xml:space="preserve">Super Admin</w:t>
            </w:r>
          </w:p>
        </w:tc>
        <w:tc>
          <w:tcPr>
            <w:tcW w:type="dxa" w:w="3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sz w:val="22"/>
                <w:szCs w:val="22"/>
              </w:rPr>
              <w:t xml:space="preserve">All clients</w:t>
            </w:r>
          </w:p>
        </w:tc>
        <w:tc>
          <w:tcPr>
            <w:tcW w:type="dxa" w:w="43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sz w:val="22"/>
                <w:szCs w:val="22"/>
              </w:rPr>
              <w:t xml:space="preserve">All Admin capabilities plus: create, edit, and deactivate data sources; manage role-mapping configuration</w:t>
            </w:r>
          </w:p>
        </w:tc>
      </w:tr>
    </w:tbl>
    <w:p>
      <w:pPr>
        <w:spacing w:after="160"/>
      </w:pPr>
    </w:p>
    <w:p>
      <w:pPr>
        <w:pStyle w:val="Heading2"/>
        <w:spacing w:after="160" w:before="280"/>
      </w:pPr>
      <w:r>
        <w:rPr>
          <w:rFonts w:ascii="Arial" w:cs="Arial" w:eastAsia="Arial" w:hAnsi="Arial"/>
          <w:b/>
          <w:bCs/>
          <w:color w:val="1F3864"/>
          <w:sz w:val="24"/>
          <w:szCs w:val="24"/>
        </w:rPr>
        <w:t xml:space="preserve">2.3 Role Determination</w:t>
      </w:r>
    </w:p>
    <w:p>
      <w:pPr>
        <w:spacing w:after="160"/>
      </w:pPr>
      <w:r>
        <w:rPr>
          <w:rFonts w:ascii="Arial" w:cs="Arial" w:eastAsia="Arial" w:hAnsi="Arial"/>
          <w:color w:val="000000"/>
          <w:sz w:val="22"/>
          <w:szCs w:val="22"/>
        </w:rPr>
        <w:t xml:space="preserve">At login, the backend reads the authenticated user’s CRM security team memberships and maps them to an application role using a configurable mapping table. If a user belongs to multiple CRM security teams that map to different application roles, the highest-privilege role applies. The mapping table is stored in the application’s dedicated database tables and is editable only by Super Admins.</w:t>
      </w:r>
    </w:p>
    <w:p>
      <w:pPr>
        <w:pStyle w:val="Heading2"/>
        <w:spacing w:after="160" w:before="280"/>
      </w:pPr>
      <w:r>
        <w:rPr>
          <w:rFonts w:ascii="Arial" w:cs="Arial" w:eastAsia="Arial" w:hAnsi="Arial"/>
          <w:b/>
          <w:bCs/>
          <w:color w:val="1F3864"/>
          <w:sz w:val="24"/>
          <w:szCs w:val="24"/>
        </w:rPr>
        <w:t xml:space="preserve">2.4 Data Filtering</w:t>
      </w:r>
    </w:p>
    <w:p>
      <w:pPr>
        <w:spacing w:after="160"/>
      </w:pPr>
      <w:r>
        <w:rPr>
          <w:rFonts w:ascii="Arial" w:cs="Arial" w:eastAsia="Arial" w:hAnsi="Arial"/>
          <w:color w:val="000000"/>
          <w:sz w:val="22"/>
          <w:szCs w:val="22"/>
        </w:rPr>
        <w:t xml:space="preserve">Data visibility is enforced at the query level, not the application layer. When the backend executes a data source query, it injects a parameter representing the current user’s identity. For Mentors, the query filters results to only those records where the mentor relationship matches the current user. For Admins and Super Admins, no mentor filter is applied, returning all records.</w:t>
      </w:r>
    </w:p>
    <w:p>
      <w:r>
        <w:br w:type="page"/>
      </w:r>
    </w:p>
    <w:p>
      <w:pPr>
        <w:pStyle w:val="Heading1"/>
        <w:spacing w:after="200" w:before="360"/>
      </w:pPr>
      <w:r>
        <w:rPr>
          <w:rFonts w:ascii="Arial" w:cs="Arial" w:eastAsia="Arial" w:hAnsi="Arial"/>
          <w:b/>
          <w:bCs/>
          <w:color w:val="1F3864"/>
          <w:sz w:val="28"/>
          <w:szCs w:val="28"/>
        </w:rPr>
        <w:t xml:space="preserve">3. View Configuration Schema</w:t>
      </w:r>
    </w:p>
    <w:p>
      <w:pPr>
        <w:pStyle w:val="Heading2"/>
        <w:spacing w:after="160" w:before="280"/>
      </w:pPr>
      <w:r>
        <w:rPr>
          <w:rFonts w:ascii="Arial" w:cs="Arial" w:eastAsia="Arial" w:hAnsi="Arial"/>
          <w:b/>
          <w:bCs/>
          <w:color w:val="1F3864"/>
          <w:sz w:val="24"/>
          <w:szCs w:val="24"/>
        </w:rPr>
        <w:t xml:space="preserve">3.1 Two-Layer Architecture</w:t>
      </w:r>
    </w:p>
    <w:p>
      <w:pPr>
        <w:spacing w:after="160"/>
      </w:pPr>
      <w:r>
        <w:rPr>
          <w:rFonts w:ascii="Arial" w:cs="Arial" w:eastAsia="Arial" w:hAnsi="Arial"/>
          <w:color w:val="000000"/>
          <w:sz w:val="22"/>
          <w:szCs w:val="22"/>
        </w:rPr>
        <w:t xml:space="preserve">The application uses a two-layer configuration model that separates data retrieval complexity from presentation and filtering concerns.</w:t>
      </w:r>
    </w:p>
    <w:p>
      <w:pPr>
        <w:spacing w:after="120" w:before="200"/>
      </w:pPr>
      <w:r>
        <w:rPr>
          <w:rFonts w:ascii="Arial" w:cs="Arial" w:eastAsia="Arial" w:hAnsi="Arial"/>
          <w:b/>
          <w:bCs/>
          <w:color w:val="1F3864"/>
          <w:sz w:val="22"/>
          <w:szCs w:val="22"/>
        </w:rPr>
        <w:t xml:space="preserve">Layer 1: Data Sources</w:t>
      </w:r>
    </w:p>
    <w:p>
      <w:pPr>
        <w:spacing w:after="160"/>
      </w:pPr>
      <w:r>
        <w:rPr>
          <w:rFonts w:ascii="Arial" w:cs="Arial" w:eastAsia="Arial" w:hAnsi="Arial"/>
          <w:color w:val="000000"/>
          <w:sz w:val="22"/>
          <w:szCs w:val="22"/>
        </w:rPr>
        <w:t xml:space="preserve">A data source is a named, reusable query definition that serves as the foundation for one or more views. Data sources encapsulate all complexity related to entity relationships, joins, unions, field selection, and hierarchical grouping. Data sources are created and managed exclusively by Super Admins.</w:t>
      </w:r>
    </w:p>
    <w:p>
      <w:pPr>
        <w:spacing w:after="120" w:before="200"/>
      </w:pPr>
      <w:r>
        <w:rPr>
          <w:rFonts w:ascii="Arial" w:cs="Arial" w:eastAsia="Arial" w:hAnsi="Arial"/>
          <w:b/>
          <w:bCs/>
          <w:color w:val="1F3864"/>
          <w:sz w:val="22"/>
          <w:szCs w:val="22"/>
        </w:rPr>
        <w:t xml:space="preserve">Layer 2: Views</w:t>
      </w:r>
    </w:p>
    <w:p>
      <w:pPr>
        <w:spacing w:after="160"/>
      </w:pPr>
      <w:r>
        <w:rPr>
          <w:rFonts w:ascii="Arial" w:cs="Arial" w:eastAsia="Arial" w:hAnsi="Arial"/>
          <w:color w:val="000000"/>
          <w:sz w:val="22"/>
          <w:szCs w:val="22"/>
        </w:rPr>
        <w:t xml:space="preserve">A view is a named presentation configuration built on top of a single data source. Views select a subset of the data source’s available columns, apply additional filters, define sort order, and control display behavior. Multiple views can reference the same data source. Views are created and managed by Admins and Super Admins.</w:t>
      </w:r>
    </w:p>
    <w:p>
      <w:pPr>
        <w:pStyle w:val="Heading2"/>
        <w:spacing w:after="160" w:before="280"/>
      </w:pPr>
      <w:r>
        <w:rPr>
          <w:rFonts w:ascii="Arial" w:cs="Arial" w:eastAsia="Arial" w:hAnsi="Arial"/>
          <w:b/>
          <w:bCs/>
          <w:color w:val="1F3864"/>
          <w:sz w:val="24"/>
          <w:szCs w:val="24"/>
        </w:rPr>
        <w:t xml:space="preserve">3.2 Data Source Definition</w:t>
      </w:r>
    </w:p>
    <w:p>
      <w:pPr>
        <w:spacing w:after="160"/>
      </w:pPr>
      <w:r>
        <w:rPr>
          <w:rFonts w:ascii="Arial" w:cs="Arial" w:eastAsia="Arial" w:hAnsi="Arial"/>
          <w:color w:val="000000"/>
          <w:sz w:val="22"/>
          <w:szCs w:val="22"/>
        </w:rPr>
        <w:t xml:space="preserve">Each data source record consists of the following components: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22"/>
                <w:szCs w:val="22"/>
              </w:rPr>
              <w:t xml:space="preserve">Component</w:t>
            </w:r>
          </w:p>
        </w:tc>
        <w:tc>
          <w:tcPr>
            <w:tcW w:type="dxa" w:w="696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22"/>
                <w:szCs w:val="22"/>
              </w:rPr>
              <w:t xml:space="preserve">Description</w:t>
            </w:r>
          </w:p>
        </w:tc>
      </w:tr>
      <w:tr>
        <w:tc>
          <w:tcPr>
            <w:tcW w:type="dxa" w:w="24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sz w:val="22"/>
                <w:szCs w:val="22"/>
              </w:rPr>
              <w:t xml:space="preserve">Name</w:t>
            </w:r>
          </w:p>
        </w:tc>
        <w:tc>
          <w:tcPr>
            <w:tcW w:type="dxa" w:w="6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sz w:val="22"/>
                <w:szCs w:val="22"/>
              </w:rPr>
              <w:t xml:space="preserve">A unique, human-readable identifier for the data source.</w:t>
            </w:r>
          </w:p>
        </w:tc>
      </w:tr>
      <w:tr>
        <w:tc>
          <w:tcPr>
            <w:tcW w:type="dxa" w:w="24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sz w:val="22"/>
                <w:szCs w:val="22"/>
              </w:rPr>
              <w:t xml:space="preserve">Description</w:t>
            </w:r>
          </w:p>
        </w:tc>
        <w:tc>
          <w:tcPr>
            <w:tcW w:type="dxa" w:w="6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sz w:val="22"/>
                <w:szCs w:val="22"/>
              </w:rPr>
              <w:t xml:space="preserve">A brief explanation of what data the source provides and its intended use.</w:t>
            </w:r>
          </w:p>
        </w:tc>
      </w:tr>
      <w:tr>
        <w:tc>
          <w:tcPr>
            <w:tcW w:type="dxa" w:w="24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sz w:val="22"/>
                <w:szCs w:val="22"/>
              </w:rPr>
              <w:t xml:space="preserve">SQL Query</w:t>
            </w:r>
          </w:p>
        </w:tc>
        <w:tc>
          <w:tcPr>
            <w:tcW w:type="dxa" w:w="6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sz w:val="22"/>
                <w:szCs w:val="22"/>
              </w:rPr>
              <w:t xml:space="preserve">A SELECT statement executed against the CRM database. Must be a valid SELECT; INSERT, UPDATE, DELETE, DROP, and all other non-SELECT statements are rejected. Execution is subject to a configurable timeout threshold.</w:t>
            </w:r>
          </w:p>
        </w:tc>
      </w:tr>
      <w:tr>
        <w:tc>
          <w:tcPr>
            <w:tcW w:type="dxa" w:w="24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sz w:val="22"/>
                <w:szCs w:val="22"/>
              </w:rPr>
              <w:t xml:space="preserve">Column Metadata</w:t>
            </w:r>
          </w:p>
        </w:tc>
        <w:tc>
          <w:tcPr>
            <w:tcW w:type="dxa" w:w="6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sz w:val="22"/>
                <w:szCs w:val="22"/>
              </w:rPr>
              <w:t xml:space="preserve">For each column returned by the query: a logical column name, a display-friendly label, and a data type designation. Column metadata is used by views to reference available columns.</w:t>
            </w:r>
          </w:p>
        </w:tc>
      </w:tr>
      <w:tr>
        <w:tc>
          <w:tcPr>
            <w:tcW w:type="dxa" w:w="24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sz w:val="22"/>
                <w:szCs w:val="22"/>
              </w:rPr>
              <w:t xml:space="preserve">Hierarchy Definition</w:t>
            </w:r>
          </w:p>
        </w:tc>
        <w:tc>
          <w:tcPr>
            <w:tcW w:type="dxa" w:w="6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sz w:val="22"/>
                <w:szCs w:val="22"/>
              </w:rPr>
              <w:t xml:space="preserve">An ordered list of hierarchy levels. Each level specifies: the column that defines group membership at that level, the display column(s) shown for the group header, and the parent-child grouping key linking it to the level above. Supports arbitrary depth. If no hierarchy is defined, results render as a flat table.</w:t>
            </w:r>
          </w:p>
        </w:tc>
      </w:tr>
      <w:tr>
        <w:tc>
          <w:tcPr>
            <w:tcW w:type="dxa" w:w="24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sz w:val="22"/>
                <w:szCs w:val="22"/>
              </w:rPr>
              <w:t xml:space="preserve">Named Parameters</w:t>
            </w:r>
          </w:p>
        </w:tc>
        <w:tc>
          <w:tcPr>
            <w:tcW w:type="dxa" w:w="6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sz w:val="22"/>
                <w:szCs w:val="22"/>
              </w:rPr>
              <w:t xml:space="preserve">Declared parameters that the backend injects at query execution time. The current user’s identity is always available as a built-in parameter. Additional parameters may be defined for use in view-level filters.</w:t>
            </w:r>
          </w:p>
        </w:tc>
      </w:tr>
      <w:tr>
        <w:tc>
          <w:tcPr>
            <w:tcW w:type="dxa" w:w="24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sz w:val="22"/>
                <w:szCs w:val="22"/>
              </w:rPr>
              <w:t xml:space="preserve">Status</w:t>
            </w:r>
          </w:p>
        </w:tc>
        <w:tc>
          <w:tcPr>
            <w:tcW w:type="dxa" w:w="6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sz w:val="22"/>
                <w:szCs w:val="22"/>
              </w:rPr>
              <w:t xml:space="preserve">Active or Inactive. Inactive data sources make all dependent views unavailable.</w:t>
            </w:r>
          </w:p>
        </w:tc>
      </w:tr>
    </w:tbl>
    <w:p>
      <w:pPr>
        <w:spacing w:after="160"/>
      </w:pPr>
    </w:p>
    <w:p>
      <w:pPr>
        <w:pStyle w:val="Heading2"/>
        <w:spacing w:after="160" w:before="280"/>
      </w:pPr>
      <w:r>
        <w:rPr>
          <w:rFonts w:ascii="Arial" w:cs="Arial" w:eastAsia="Arial" w:hAnsi="Arial"/>
          <w:b/>
          <w:bCs/>
          <w:color w:val="1F3864"/>
          <w:sz w:val="24"/>
          <w:szCs w:val="24"/>
        </w:rPr>
        <w:t xml:space="preserve">3.3 Data Source SQL Guardrails</w:t>
      </w:r>
    </w:p>
    <w:p>
      <w:pPr>
        <w:spacing w:after="160"/>
      </w:pPr>
      <w:r>
        <w:rPr>
          <w:rFonts w:ascii="Arial" w:cs="Arial" w:eastAsia="Arial" w:hAnsi="Arial"/>
          <w:color w:val="000000"/>
          <w:sz w:val="22"/>
          <w:szCs w:val="22"/>
        </w:rPr>
        <w:t xml:space="preserve">The following constraints are enforced on all data source SQL queries:</w:t>
      </w:r>
    </w:p>
    <w:p>
      <w:pPr>
        <w:pStyle w:val="ListParagraph"/>
        <w:numPr>
          <w:ilvl w:val="0"/>
          <w:numId w:val="2"/>
        </w:numPr>
        <w:spacing w:after="80"/>
      </w:pPr>
      <w:r>
        <w:rPr>
          <w:rFonts w:ascii="Arial" w:cs="Arial" w:eastAsia="Arial" w:hAnsi="Arial"/>
          <w:sz w:val="22"/>
          <w:szCs w:val="22"/>
        </w:rPr>
        <w:t xml:space="preserve">Only SELECT statements are permitted. Any query beginning with or containing INSERT, UPDATE, DELETE, DROP, ALTER, CREATE, TRUNCATE, GRANT, REVOKE, or EXECUTE is rejected at save time.</w:t>
      </w:r>
    </w:p>
    <w:p>
      <w:pPr>
        <w:pStyle w:val="ListParagraph"/>
        <w:numPr>
          <w:ilvl w:val="0"/>
          <w:numId w:val="2"/>
        </w:numPr>
        <w:spacing w:after="80"/>
      </w:pPr>
      <w:r>
        <w:rPr>
          <w:rFonts w:ascii="Arial" w:cs="Arial" w:eastAsia="Arial" w:hAnsi="Arial"/>
          <w:sz w:val="22"/>
          <w:szCs w:val="22"/>
        </w:rPr>
        <w:t xml:space="preserve">Queries may only reference tables within the CRM database and the application’s dedicated tables (identified by their distinct table prefix).</w:t>
      </w:r>
    </w:p>
    <w:p>
      <w:pPr>
        <w:pStyle w:val="ListParagraph"/>
        <w:numPr>
          <w:ilvl w:val="0"/>
          <w:numId w:val="2"/>
        </w:numPr>
        <w:spacing w:after="80"/>
      </w:pPr>
      <w:r>
        <w:rPr>
          <w:rFonts w:ascii="Arial" w:cs="Arial" w:eastAsia="Arial" w:hAnsi="Arial"/>
          <w:sz w:val="22"/>
          <w:szCs w:val="22"/>
        </w:rPr>
        <w:t xml:space="preserve">Query execution is subject to a configurable timeout. If a query exceeds the timeout, execution is terminated and an error is returned.</w:t>
      </w:r>
    </w:p>
    <w:p>
      <w:pPr>
        <w:pStyle w:val="ListParagraph"/>
        <w:numPr>
          <w:ilvl w:val="0"/>
          <w:numId w:val="2"/>
        </w:numPr>
        <w:spacing w:after="80"/>
      </w:pPr>
      <w:r>
        <w:rPr>
          <w:rFonts w:ascii="Arial" w:cs="Arial" w:eastAsia="Arial" w:hAnsi="Arial"/>
          <w:sz w:val="22"/>
          <w:szCs w:val="22"/>
        </w:rPr>
        <w:t xml:space="preserve">Parameter placeholders must use named parameter syntax. Raw value concatenation is not permitted.</w:t>
      </w:r>
    </w:p>
    <w:p>
      <w:pPr>
        <w:pStyle w:val="Heading2"/>
        <w:spacing w:after="160" w:before="280"/>
      </w:pPr>
      <w:r>
        <w:rPr>
          <w:rFonts w:ascii="Arial" w:cs="Arial" w:eastAsia="Arial" w:hAnsi="Arial"/>
          <w:b/>
          <w:bCs/>
          <w:color w:val="1F3864"/>
          <w:sz w:val="24"/>
          <w:szCs w:val="24"/>
        </w:rPr>
        <w:t xml:space="preserve">3.4 View Definition</w:t>
      </w:r>
    </w:p>
    <w:p>
      <w:pPr>
        <w:spacing w:after="160"/>
      </w:pPr>
      <w:r>
        <w:rPr>
          <w:rFonts w:ascii="Arial" w:cs="Arial" w:eastAsia="Arial" w:hAnsi="Arial"/>
          <w:color w:val="000000"/>
          <w:sz w:val="22"/>
          <w:szCs w:val="22"/>
        </w:rPr>
        <w:t xml:space="preserve">Each view record consists of the following components: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22"/>
                <w:szCs w:val="22"/>
              </w:rPr>
              <w:t xml:space="preserve">Component</w:t>
            </w:r>
          </w:p>
        </w:tc>
        <w:tc>
          <w:tcPr>
            <w:tcW w:type="dxa" w:w="696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22"/>
                <w:szCs w:val="22"/>
              </w:rPr>
              <w:t xml:space="preserve">Description</w:t>
            </w:r>
          </w:p>
        </w:tc>
      </w:tr>
      <w:tr>
        <w:tc>
          <w:tcPr>
            <w:tcW w:type="dxa" w:w="24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sz w:val="22"/>
                <w:szCs w:val="22"/>
              </w:rPr>
              <w:t xml:space="preserve">Name</w:t>
            </w:r>
          </w:p>
        </w:tc>
        <w:tc>
          <w:tcPr>
            <w:tcW w:type="dxa" w:w="6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sz w:val="22"/>
                <w:szCs w:val="22"/>
              </w:rPr>
              <w:t xml:space="preserve">A unique, human-readable identifier for the view.</w:t>
            </w:r>
          </w:p>
        </w:tc>
      </w:tr>
      <w:tr>
        <w:tc>
          <w:tcPr>
            <w:tcW w:type="dxa" w:w="24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sz w:val="22"/>
                <w:szCs w:val="22"/>
              </w:rPr>
              <w:t xml:space="preserve">Description</w:t>
            </w:r>
          </w:p>
        </w:tc>
        <w:tc>
          <w:tcPr>
            <w:tcW w:type="dxa" w:w="6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sz w:val="22"/>
                <w:szCs w:val="22"/>
              </w:rPr>
              <w:t xml:space="preserve">A brief explanation of what the view shows and its intended audience.</w:t>
            </w:r>
          </w:p>
        </w:tc>
      </w:tr>
      <w:tr>
        <w:tc>
          <w:tcPr>
            <w:tcW w:type="dxa" w:w="24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sz w:val="22"/>
                <w:szCs w:val="22"/>
              </w:rPr>
              <w:t xml:space="preserve">Data Source</w:t>
            </w:r>
          </w:p>
        </w:tc>
        <w:tc>
          <w:tcPr>
            <w:tcW w:type="dxa" w:w="6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sz w:val="22"/>
                <w:szCs w:val="22"/>
              </w:rPr>
              <w:t xml:space="preserve">A reference to exactly one data source. The view inherits the data source’s query, hierarchy, and available columns.</w:t>
            </w:r>
          </w:p>
        </w:tc>
      </w:tr>
      <w:tr>
        <w:tc>
          <w:tcPr>
            <w:tcW w:type="dxa" w:w="24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sz w:val="22"/>
                <w:szCs w:val="22"/>
              </w:rPr>
              <w:t xml:space="preserve">Selected Columns</w:t>
            </w:r>
          </w:p>
        </w:tc>
        <w:tc>
          <w:tcPr>
            <w:tcW w:type="dxa" w:w="6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sz w:val="22"/>
                <w:szCs w:val="22"/>
              </w:rPr>
              <w:t xml:space="preserve">An ordered subset of the data source’s columns to display. Column order in this list determines display order in the grid.</w:t>
            </w:r>
          </w:p>
        </w:tc>
      </w:tr>
      <w:tr>
        <w:tc>
          <w:tcPr>
            <w:tcW w:type="dxa" w:w="24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sz w:val="22"/>
                <w:szCs w:val="22"/>
              </w:rPr>
              <w:t xml:space="preserve">Preset Filters</w:t>
            </w:r>
          </w:p>
        </w:tc>
        <w:tc>
          <w:tcPr>
            <w:tcW w:type="dxa" w:w="6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sz w:val="22"/>
                <w:szCs w:val="22"/>
              </w:rPr>
              <w:t xml:space="preserve">Zero or more filter conditions applied automatically when the view loads. Each filter specifies a column, an operator, and a value. Preset filters are combined with the role-based data filter.</w:t>
            </w:r>
          </w:p>
        </w:tc>
      </w:tr>
      <w:tr>
        <w:tc>
          <w:tcPr>
            <w:tcW w:type="dxa" w:w="24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sz w:val="22"/>
                <w:szCs w:val="22"/>
              </w:rPr>
              <w:t xml:space="preserve">Default Sort</w:t>
            </w:r>
          </w:p>
        </w:tc>
        <w:tc>
          <w:tcPr>
            <w:tcW w:type="dxa" w:w="6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sz w:val="22"/>
                <w:szCs w:val="22"/>
              </w:rPr>
              <w:t xml:space="preserve">The initial sort column and direction (ascending or descending) applied when the view loads. Users may override this at runtime.</w:t>
            </w:r>
          </w:p>
        </w:tc>
      </w:tr>
      <w:tr>
        <w:tc>
          <w:tcPr>
            <w:tcW w:type="dxa" w:w="24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sz w:val="22"/>
                <w:szCs w:val="22"/>
              </w:rPr>
              <w:t xml:space="preserve">Display Options</w:t>
            </w:r>
          </w:p>
        </w:tc>
        <w:tc>
          <w:tcPr>
            <w:tcW w:type="dxa" w:w="6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sz w:val="22"/>
                <w:szCs w:val="22"/>
              </w:rPr>
              <w:t xml:space="preserve">Configuration controlling initial display behavior, including which hierarchy levels are visible and default collapsed/expanded state.</w:t>
            </w:r>
          </w:p>
        </w:tc>
      </w:tr>
      <w:tr>
        <w:tc>
          <w:tcPr>
            <w:tcW w:type="dxa" w:w="24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sz w:val="22"/>
                <w:szCs w:val="22"/>
              </w:rPr>
              <w:t xml:space="preserve">Status</w:t>
            </w:r>
          </w:p>
        </w:tc>
        <w:tc>
          <w:tcPr>
            <w:tcW w:type="dxa" w:w="6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sz w:val="22"/>
                <w:szCs w:val="22"/>
              </w:rPr>
              <w:t xml:space="preserve">Active or Inactive. Inactive views are hidden from all users.</w:t>
            </w:r>
          </w:p>
        </w:tc>
      </w:tr>
    </w:tbl>
    <w:p>
      <w:pPr>
        <w:spacing w:after="160"/>
      </w:pPr>
    </w:p>
    <w:p>
      <w:pPr>
        <w:pStyle w:val="Heading2"/>
        <w:spacing w:after="160" w:before="280"/>
      </w:pPr>
      <w:r>
        <w:rPr>
          <w:rFonts w:ascii="Arial" w:cs="Arial" w:eastAsia="Arial" w:hAnsi="Arial"/>
          <w:b/>
          <w:bCs/>
          <w:color w:val="1F3864"/>
          <w:sz w:val="24"/>
          <w:szCs w:val="24"/>
        </w:rPr>
        <w:t xml:space="preserve">3.5 Relationship Between Data Sources and Views</w:t>
      </w:r>
    </w:p>
    <w:p>
      <w:pPr>
        <w:pStyle w:val="ListParagraph"/>
        <w:numPr>
          <w:ilvl w:val="0"/>
          <w:numId w:val="2"/>
        </w:numPr>
        <w:spacing w:after="80"/>
      </w:pPr>
      <w:r>
        <w:rPr>
          <w:rFonts w:ascii="Arial" w:cs="Arial" w:eastAsia="Arial" w:hAnsi="Arial"/>
          <w:sz w:val="22"/>
          <w:szCs w:val="22"/>
        </w:rPr>
        <w:t xml:space="preserve">One data source can support many views.</w:t>
      </w:r>
    </w:p>
    <w:p>
      <w:pPr>
        <w:pStyle w:val="ListParagraph"/>
        <w:numPr>
          <w:ilvl w:val="0"/>
          <w:numId w:val="2"/>
        </w:numPr>
        <w:spacing w:after="80"/>
      </w:pPr>
      <w:r>
        <w:rPr>
          <w:rFonts w:ascii="Arial" w:cs="Arial" w:eastAsia="Arial" w:hAnsi="Arial"/>
          <w:sz w:val="22"/>
          <w:szCs w:val="22"/>
        </w:rPr>
        <w:t xml:space="preserve">Each view references exactly one data source.</w:t>
      </w:r>
    </w:p>
    <w:p>
      <w:pPr>
        <w:pStyle w:val="ListParagraph"/>
        <w:numPr>
          <w:ilvl w:val="0"/>
          <w:numId w:val="2"/>
        </w:numPr>
        <w:spacing w:after="80"/>
      </w:pPr>
      <w:r>
        <w:rPr>
          <w:rFonts w:ascii="Arial" w:cs="Arial" w:eastAsia="Arial" w:hAnsi="Arial"/>
          <w:sz w:val="22"/>
          <w:szCs w:val="22"/>
        </w:rPr>
        <w:t xml:space="preserve">Deactivating a data source automatically makes all dependent views unavailable.</w:t>
      </w:r>
    </w:p>
    <w:p>
      <w:pPr>
        <w:pStyle w:val="ListParagraph"/>
        <w:numPr>
          <w:ilvl w:val="0"/>
          <w:numId w:val="2"/>
        </w:numPr>
        <w:spacing w:after="80"/>
      </w:pPr>
      <w:r>
        <w:rPr>
          <w:rFonts w:ascii="Arial" w:cs="Arial" w:eastAsia="Arial" w:hAnsi="Arial"/>
          <w:sz w:val="22"/>
          <w:szCs w:val="22"/>
        </w:rPr>
        <w:t xml:space="preserve">Changes to a data source’s column metadata or hierarchy definition may affect dependent views. The application should warn the Super Admin of dependent views before saving changes to a data source.</w:t>
      </w:r>
    </w:p>
    <w:p>
      <w:r>
        <w:br w:type="page"/>
      </w:r>
    </w:p>
    <w:p>
      <w:pPr>
        <w:pStyle w:val="Heading1"/>
        <w:spacing w:after="200" w:before="360"/>
      </w:pPr>
      <w:r>
        <w:rPr>
          <w:rFonts w:ascii="Arial" w:cs="Arial" w:eastAsia="Arial" w:hAnsi="Arial"/>
          <w:b/>
          <w:bCs/>
          <w:color w:val="1F3864"/>
          <w:sz w:val="28"/>
          <w:szCs w:val="28"/>
        </w:rPr>
        <w:t xml:space="preserve">4. Mentor Experience</w:t>
      </w:r>
    </w:p>
    <w:p>
      <w:pPr>
        <w:pStyle w:val="Heading2"/>
        <w:spacing w:after="160" w:before="280"/>
      </w:pPr>
      <w:r>
        <w:rPr>
          <w:rFonts w:ascii="Arial" w:cs="Arial" w:eastAsia="Arial" w:hAnsi="Arial"/>
          <w:b/>
          <w:bCs/>
          <w:color w:val="1F3864"/>
          <w:sz w:val="24"/>
          <w:szCs w:val="24"/>
        </w:rPr>
        <w:t xml:space="preserve">4.1 Login</w:t>
      </w:r>
    </w:p>
    <w:p>
      <w:pPr>
        <w:spacing w:after="160"/>
      </w:pPr>
      <w:r>
        <w:rPr>
          <w:rFonts w:ascii="Arial" w:cs="Arial" w:eastAsia="Arial" w:hAnsi="Arial"/>
          <w:color w:val="000000"/>
          <w:sz w:val="22"/>
          <w:szCs w:val="22"/>
        </w:rPr>
        <w:t xml:space="preserve">The mentor opens the application in a web browser and authenticates using their existing CRM credentials. No separate account creation or registration is required. On first login, the mentor is prompted to authorize the application to access their Google Workspace account for calendar and email functionality (see Section 9).</w:t>
      </w:r>
    </w:p>
    <w:p>
      <w:pPr>
        <w:pStyle w:val="Heading2"/>
        <w:spacing w:after="160" w:before="280"/>
      </w:pPr>
      <w:r>
        <w:rPr>
          <w:rFonts w:ascii="Arial" w:cs="Arial" w:eastAsia="Arial" w:hAnsi="Arial"/>
          <w:b/>
          <w:bCs/>
          <w:color w:val="1F3864"/>
          <w:sz w:val="24"/>
          <w:szCs w:val="24"/>
        </w:rPr>
        <w:t xml:space="preserve">4.2 Landing State</w:t>
      </w:r>
    </w:p>
    <w:p>
      <w:pPr>
        <w:spacing w:after="160"/>
      </w:pPr>
      <w:r>
        <w:rPr>
          <w:rFonts w:ascii="Arial" w:cs="Arial" w:eastAsia="Arial" w:hAnsi="Arial"/>
          <w:color w:val="000000"/>
          <w:sz w:val="22"/>
          <w:szCs w:val="22"/>
        </w:rPr>
        <w:t xml:space="preserve">After successful authentication, the application loads the last view the user selected in their previous session. If no previous session exists (first-time user), the application loads the first view in the list of available views. The user’s last-selected view is persisted across sessions.</w:t>
      </w:r>
    </w:p>
    <w:p>
      <w:pPr>
        <w:pStyle w:val="Heading2"/>
        <w:spacing w:after="160" w:before="280"/>
      </w:pPr>
      <w:r>
        <w:rPr>
          <w:rFonts w:ascii="Arial" w:cs="Arial" w:eastAsia="Arial" w:hAnsi="Arial"/>
          <w:b/>
          <w:bCs/>
          <w:color w:val="1F3864"/>
          <w:sz w:val="24"/>
          <w:szCs w:val="24"/>
        </w:rPr>
        <w:t xml:space="preserve">4.3 View Selector</w:t>
      </w:r>
    </w:p>
    <w:p>
      <w:pPr>
        <w:spacing w:after="160"/>
      </w:pPr>
      <w:r>
        <w:rPr>
          <w:rFonts w:ascii="Arial" w:cs="Arial" w:eastAsia="Arial" w:hAnsi="Arial"/>
          <w:color w:val="000000"/>
          <w:sz w:val="22"/>
          <w:szCs w:val="22"/>
        </w:rPr>
        <w:t xml:space="preserve">A view selector control is always visible, allowing the user to switch between all active views. All active views are available to all authenticated users regardless of role. Switching views loads the selected view’s data source query with the appropriate role-based parameters and renders the results.</w:t>
      </w:r>
    </w:p>
    <w:p>
      <w:pPr>
        <w:pStyle w:val="Heading2"/>
        <w:spacing w:after="160" w:before="280"/>
      </w:pPr>
      <w:r>
        <w:rPr>
          <w:rFonts w:ascii="Arial" w:cs="Arial" w:eastAsia="Arial" w:hAnsi="Arial"/>
          <w:b/>
          <w:bCs/>
          <w:color w:val="1F3864"/>
          <w:sz w:val="24"/>
          <w:szCs w:val="24"/>
        </w:rPr>
        <w:t xml:space="preserve">4.4 Data Grid</w:t>
      </w:r>
    </w:p>
    <w:p>
      <w:pPr>
        <w:spacing w:after="160"/>
      </w:pPr>
      <w:r>
        <w:rPr>
          <w:rFonts w:ascii="Arial" w:cs="Arial" w:eastAsia="Arial" w:hAnsi="Arial"/>
          <w:color w:val="000000"/>
          <w:sz w:val="22"/>
          <w:szCs w:val="22"/>
        </w:rPr>
        <w:t xml:space="preserve">The data grid is the primary display surface for view results. It has the following characteristics:</w:t>
      </w:r>
    </w:p>
    <w:p>
      <w:pPr>
        <w:pStyle w:val="ListParagraph"/>
        <w:numPr>
          <w:ilvl w:val="0"/>
          <w:numId w:val="2"/>
        </w:numPr>
        <w:spacing w:after="80"/>
      </w:pPr>
      <w:r>
        <w:rPr>
          <w:rFonts w:ascii="Arial" w:cs="Arial" w:eastAsia="Arial" w:hAnsi="Arial"/>
          <w:b/>
          <w:bCs/>
          <w:sz w:val="22"/>
          <w:szCs w:val="22"/>
        </w:rPr>
        <w:t xml:space="preserve">Read-only. </w:t>
      </w:r>
      <w:r>
        <w:rPr>
          <w:rFonts w:ascii="Arial" w:cs="Arial" w:eastAsia="Arial" w:hAnsi="Arial"/>
          <w:sz w:val="22"/>
          <w:szCs w:val="22"/>
        </w:rPr>
        <w:t xml:space="preserve">No inline editing is permitted in the grid.</w:t>
      </w:r>
    </w:p>
    <w:p>
      <w:pPr>
        <w:pStyle w:val="ListParagraph"/>
        <w:numPr>
          <w:ilvl w:val="0"/>
          <w:numId w:val="2"/>
        </w:numPr>
        <w:spacing w:after="80"/>
      </w:pPr>
      <w:r>
        <w:rPr>
          <w:rFonts w:ascii="Arial" w:cs="Arial" w:eastAsia="Arial" w:hAnsi="Arial"/>
          <w:b/>
          <w:bCs/>
          <w:sz w:val="22"/>
          <w:szCs w:val="22"/>
        </w:rPr>
        <w:t xml:space="preserve">Full data load. </w:t>
      </w:r>
      <w:r>
        <w:rPr>
          <w:rFonts w:ascii="Arial" w:cs="Arial" w:eastAsia="Arial" w:hAnsi="Arial"/>
          <w:sz w:val="22"/>
          <w:szCs w:val="22"/>
        </w:rPr>
        <w:t xml:space="preserve">The complete result set is fetched when the view loads. No pagination or lazy loading of grid data.</w:t>
      </w:r>
    </w:p>
    <w:p>
      <w:pPr>
        <w:pStyle w:val="ListParagraph"/>
        <w:numPr>
          <w:ilvl w:val="0"/>
          <w:numId w:val="2"/>
        </w:numPr>
        <w:spacing w:after="80"/>
      </w:pPr>
      <w:r>
        <w:rPr>
          <w:rFonts w:ascii="Arial" w:cs="Arial" w:eastAsia="Arial" w:hAnsi="Arial"/>
          <w:b/>
          <w:bCs/>
          <w:sz w:val="22"/>
          <w:szCs w:val="22"/>
        </w:rPr>
        <w:t xml:space="preserve">Hierarchical display. </w:t>
      </w:r>
      <w:r>
        <w:rPr>
          <w:rFonts w:ascii="Arial" w:cs="Arial" w:eastAsia="Arial" w:hAnsi="Arial"/>
          <w:sz w:val="22"/>
          <w:szCs w:val="22"/>
        </w:rPr>
        <w:t xml:space="preserve">If the data source defines a hierarchy, results are grouped accordingly. All levels load collapsed by default. Users expand and collapse levels by clicking on group headers. Expanding and collapsing is a client-side operation with no additional database queries.</w:t>
      </w:r>
    </w:p>
    <w:p>
      <w:pPr>
        <w:pStyle w:val="ListParagraph"/>
        <w:numPr>
          <w:ilvl w:val="0"/>
          <w:numId w:val="2"/>
        </w:numPr>
        <w:spacing w:after="80"/>
      </w:pPr>
      <w:r>
        <w:rPr>
          <w:rFonts w:ascii="Arial" w:cs="Arial" w:eastAsia="Arial" w:hAnsi="Arial"/>
          <w:b/>
          <w:bCs/>
          <w:sz w:val="22"/>
          <w:szCs w:val="22"/>
        </w:rPr>
        <w:t xml:space="preserve">Flat display. </w:t>
      </w:r>
      <w:r>
        <w:rPr>
          <w:rFonts w:ascii="Arial" w:cs="Arial" w:eastAsia="Arial" w:hAnsi="Arial"/>
          <w:sz w:val="22"/>
          <w:szCs w:val="22"/>
        </w:rPr>
        <w:t xml:space="preserve">If the data source defines no hierarchy, results render as a simple flat table.</w:t>
      </w:r>
    </w:p>
    <w:p>
      <w:pPr>
        <w:pStyle w:val="Heading2"/>
        <w:spacing w:after="160" w:before="280"/>
      </w:pPr>
      <w:r>
        <w:rPr>
          <w:rFonts w:ascii="Arial" w:cs="Arial" w:eastAsia="Arial" w:hAnsi="Arial"/>
          <w:b/>
          <w:bCs/>
          <w:color w:val="1F3864"/>
          <w:sz w:val="24"/>
          <w:szCs w:val="24"/>
        </w:rPr>
        <w:t xml:space="preserve">4.5 Column Filtering</w:t>
      </w:r>
    </w:p>
    <w:p>
      <w:pPr>
        <w:spacing w:after="160"/>
      </w:pPr>
      <w:r>
        <w:rPr>
          <w:rFonts w:ascii="Arial" w:cs="Arial" w:eastAsia="Arial" w:hAnsi="Arial"/>
          <w:color w:val="000000"/>
          <w:sz w:val="22"/>
          <w:szCs w:val="22"/>
        </w:rPr>
        <w:t xml:space="preserve">Users can filter the grid by clicking on a column header to reveal the distinct values in that column. Selecting one or more values filters the grid to show only rows matching the selected values. Filters are applied client-side against the already-loaded result set. Multiple column filters can be active simultaneously and are combined with AND logic.</w:t>
      </w:r>
    </w:p>
    <w:p>
      <w:pPr>
        <w:pStyle w:val="Heading2"/>
        <w:spacing w:after="160" w:before="280"/>
      </w:pPr>
      <w:r>
        <w:rPr>
          <w:rFonts w:ascii="Arial" w:cs="Arial" w:eastAsia="Arial" w:hAnsi="Arial"/>
          <w:b/>
          <w:bCs/>
          <w:color w:val="1F3864"/>
          <w:sz w:val="24"/>
          <w:szCs w:val="24"/>
        </w:rPr>
        <w:t xml:space="preserve">4.6 Multi-Column Sorting</w:t>
      </w:r>
    </w:p>
    <w:p>
      <w:pPr>
        <w:spacing w:after="160"/>
      </w:pPr>
      <w:r>
        <w:rPr>
          <w:rFonts w:ascii="Arial" w:cs="Arial" w:eastAsia="Arial" w:hAnsi="Arial"/>
          <w:color w:val="000000"/>
          <w:sz w:val="22"/>
          <w:szCs w:val="22"/>
        </w:rPr>
        <w:t xml:space="preserve">The view’s default sort order is applied when the view loads. Users can click a column header to sort by that column. Subsequent shift-click (or equivalent interaction) on additional column headers adds secondary and tertiary sort levels. Sorting operates within each hierarchy level — it reorders rows among their siblings but does not break the hierarchical grouping.</w:t>
      </w:r>
    </w:p>
    <w:p>
      <w:pPr>
        <w:pStyle w:val="Heading2"/>
        <w:spacing w:after="160" w:before="280"/>
      </w:pPr>
      <w:r>
        <w:rPr>
          <w:rFonts w:ascii="Arial" w:cs="Arial" w:eastAsia="Arial" w:hAnsi="Arial"/>
          <w:b/>
          <w:bCs/>
          <w:color w:val="1F3864"/>
          <w:sz w:val="24"/>
          <w:szCs w:val="24"/>
        </w:rPr>
        <w:t xml:space="preserve">4.7 Engagement Detail Screen</w:t>
      </w:r>
    </w:p>
    <w:p>
      <w:pPr>
        <w:spacing w:after="160"/>
      </w:pPr>
      <w:r>
        <w:rPr>
          <w:rFonts w:ascii="Arial" w:cs="Arial" w:eastAsia="Arial" w:hAnsi="Arial"/>
          <w:color w:val="000000"/>
          <w:sz w:val="22"/>
          <w:szCs w:val="22"/>
        </w:rPr>
        <w:t xml:space="preserve">Clicking an engagement row in the data grid opens the engagement detail screen. This is a custom-designed user interface that combines fields from the engagement and all of its related entities into a single view, optimized for efficient use on large-format monitors. The detail screen displays:</w:t>
      </w:r>
    </w:p>
    <w:p>
      <w:pPr>
        <w:pStyle w:val="ListParagraph"/>
        <w:numPr>
          <w:ilvl w:val="0"/>
          <w:numId w:val="2"/>
        </w:numPr>
        <w:spacing w:after="80"/>
      </w:pPr>
      <w:r>
        <w:rPr>
          <w:rFonts w:ascii="Arial" w:cs="Arial" w:eastAsia="Arial" w:hAnsi="Arial"/>
          <w:sz w:val="22"/>
          <w:szCs w:val="22"/>
        </w:rPr>
        <w:t xml:space="preserve">Client contact details (name, phone, email)</w:t>
      </w:r>
    </w:p>
    <w:p>
      <w:pPr>
        <w:pStyle w:val="ListParagraph"/>
        <w:numPr>
          <w:ilvl w:val="0"/>
          <w:numId w:val="2"/>
        </w:numPr>
        <w:spacing w:after="80"/>
      </w:pPr>
      <w:r>
        <w:rPr>
          <w:rFonts w:ascii="Arial" w:cs="Arial" w:eastAsia="Arial" w:hAnsi="Arial"/>
          <w:sz w:val="22"/>
          <w:szCs w:val="22"/>
        </w:rPr>
        <w:t xml:space="preserve">Company details</w:t>
      </w:r>
    </w:p>
    <w:p>
      <w:pPr>
        <w:pStyle w:val="ListParagraph"/>
        <w:numPr>
          <w:ilvl w:val="0"/>
          <w:numId w:val="2"/>
        </w:numPr>
        <w:spacing w:after="80"/>
      </w:pPr>
      <w:r>
        <w:rPr>
          <w:rFonts w:ascii="Arial" w:cs="Arial" w:eastAsia="Arial" w:hAnsi="Arial"/>
          <w:sz w:val="22"/>
          <w:szCs w:val="22"/>
        </w:rPr>
        <w:t xml:space="preserve">Engagement metadata (start date, status, meeting cadence)</w:t>
      </w:r>
    </w:p>
    <w:p>
      <w:pPr>
        <w:pStyle w:val="ListParagraph"/>
        <w:numPr>
          <w:ilvl w:val="0"/>
          <w:numId w:val="2"/>
        </w:numPr>
        <w:spacing w:after="80"/>
      </w:pPr>
      <w:r>
        <w:rPr>
          <w:rFonts w:ascii="Arial" w:cs="Arial" w:eastAsia="Arial" w:hAnsi="Arial"/>
          <w:sz w:val="22"/>
          <w:szCs w:val="22"/>
        </w:rPr>
        <w:t xml:space="preserve">Co-mentors and SMEs assigned to the engagement</w:t>
      </w:r>
    </w:p>
    <w:p>
      <w:pPr>
        <w:pStyle w:val="ListParagraph"/>
        <w:numPr>
          <w:ilvl w:val="0"/>
          <w:numId w:val="2"/>
        </w:numPr>
        <w:spacing w:after="80"/>
      </w:pPr>
      <w:r>
        <w:rPr>
          <w:rFonts w:ascii="Arial" w:cs="Arial" w:eastAsia="Arial" w:hAnsi="Arial"/>
          <w:sz w:val="22"/>
          <w:szCs w:val="22"/>
        </w:rPr>
        <w:t xml:space="preserve">QuickNote (editable)</w:t>
      </w:r>
    </w:p>
    <w:p>
      <w:pPr>
        <w:pStyle w:val="ListParagraph"/>
        <w:numPr>
          <w:ilvl w:val="0"/>
          <w:numId w:val="2"/>
        </w:numPr>
        <w:spacing w:after="80"/>
      </w:pPr>
      <w:r>
        <w:rPr>
          <w:rFonts w:ascii="Arial" w:cs="Arial" w:eastAsia="Arial" w:hAnsi="Arial"/>
          <w:sz w:val="22"/>
          <w:szCs w:val="22"/>
        </w:rPr>
        <w:t xml:space="preserve">Engagement Notes</w:t>
      </w:r>
    </w:p>
    <w:p>
      <w:pPr>
        <w:pStyle w:val="ListParagraph"/>
        <w:numPr>
          <w:ilvl w:val="0"/>
          <w:numId w:val="2"/>
        </w:numPr>
        <w:spacing w:after="80"/>
      </w:pPr>
      <w:r>
        <w:rPr>
          <w:rFonts w:ascii="Arial" w:cs="Arial" w:eastAsia="Arial" w:hAnsi="Arial"/>
          <w:sz w:val="22"/>
          <w:szCs w:val="22"/>
        </w:rPr>
        <w:t xml:space="preserve">Session history — a list of all sessions with date, status, and session notes</w:t>
      </w:r>
    </w:p>
    <w:p>
      <w:pPr>
        <w:spacing w:after="160"/>
      </w:pPr>
      <w:r>
        <w:rPr>
          <w:rFonts w:ascii="Arial" w:cs="Arial" w:eastAsia="Arial" w:hAnsi="Arial"/>
          <w:color w:val="000000"/>
          <w:sz w:val="22"/>
          <w:szCs w:val="22"/>
        </w:rPr>
        <w:t xml:space="preserve">Detail screen editing characteristics:</w:t>
      </w:r>
    </w:p>
    <w:p>
      <w:pPr>
        <w:pStyle w:val="ListParagraph"/>
        <w:numPr>
          <w:ilvl w:val="0"/>
          <w:numId w:val="2"/>
        </w:numPr>
        <w:spacing w:after="80"/>
      </w:pPr>
      <w:r>
        <w:rPr>
          <w:rFonts w:ascii="Arial" w:cs="Arial" w:eastAsia="Arial" w:hAnsi="Arial"/>
          <w:b/>
          <w:bCs/>
          <w:sz w:val="22"/>
          <w:szCs w:val="22"/>
        </w:rPr>
        <w:t xml:space="preserve">Auto-save. </w:t>
      </w:r>
      <w:r>
        <w:rPr>
          <w:rFonts w:ascii="Arial" w:cs="Arial" w:eastAsia="Arial" w:hAnsi="Arial"/>
          <w:sz w:val="22"/>
          <w:szCs w:val="22"/>
        </w:rPr>
        <w:t xml:space="preserve">Every field change is saved immediately when the user completes the edit (focus leaves the field or the user presses Enter). There is no save button.</w:t>
      </w:r>
    </w:p>
    <w:p>
      <w:pPr>
        <w:pStyle w:val="ListParagraph"/>
        <w:numPr>
          <w:ilvl w:val="0"/>
          <w:numId w:val="2"/>
        </w:numPr>
        <w:spacing w:after="80"/>
      </w:pPr>
      <w:r>
        <w:rPr>
          <w:rFonts w:ascii="Arial" w:cs="Arial" w:eastAsia="Arial" w:hAnsi="Arial"/>
          <w:b/>
          <w:bCs/>
          <w:sz w:val="22"/>
          <w:szCs w:val="22"/>
        </w:rPr>
        <w:t xml:space="preserve">Inline error handling. </w:t>
      </w:r>
      <w:r>
        <w:rPr>
          <w:rFonts w:ascii="Arial" w:cs="Arial" w:eastAsia="Arial" w:hAnsi="Arial"/>
          <w:sz w:val="22"/>
          <w:szCs w:val="22"/>
        </w:rPr>
        <w:t xml:space="preserve">If a save fails (for example, a CRM validation rule rejects the value), the field displays an error message and retains the user’s attempted value so they can correct it.</w:t>
      </w:r>
    </w:p>
    <w:p>
      <w:pPr>
        <w:pStyle w:val="ListParagraph"/>
        <w:numPr>
          <w:ilvl w:val="0"/>
          <w:numId w:val="2"/>
        </w:numPr>
        <w:spacing w:after="80"/>
      </w:pPr>
      <w:r>
        <w:rPr>
          <w:rFonts w:ascii="Arial" w:cs="Arial" w:eastAsia="Arial" w:hAnsi="Arial"/>
          <w:b/>
          <w:bCs/>
          <w:sz w:val="22"/>
          <w:szCs w:val="22"/>
        </w:rPr>
        <w:t xml:space="preserve">Add relationships. </w:t>
      </w:r>
      <w:r>
        <w:rPr>
          <w:rFonts w:ascii="Arial" w:cs="Arial" w:eastAsia="Arial" w:hAnsi="Arial"/>
          <w:sz w:val="22"/>
          <w:szCs w:val="22"/>
        </w:rPr>
        <w:t xml:space="preserve">Users can add relationships to the engagement (for example, adding a co-mentor or SME).</w:t>
      </w:r>
    </w:p>
    <w:p>
      <w:pPr>
        <w:pStyle w:val="ListParagraph"/>
        <w:numPr>
          <w:ilvl w:val="0"/>
          <w:numId w:val="2"/>
        </w:numPr>
        <w:spacing w:after="80"/>
      </w:pPr>
      <w:r>
        <w:rPr>
          <w:rFonts w:ascii="Arial" w:cs="Arial" w:eastAsia="Arial" w:hAnsi="Arial"/>
          <w:b/>
          <w:bCs/>
          <w:sz w:val="22"/>
          <w:szCs w:val="22"/>
        </w:rPr>
        <w:t xml:space="preserve">No delete. </w:t>
      </w:r>
      <w:r>
        <w:rPr>
          <w:rFonts w:ascii="Arial" w:cs="Arial" w:eastAsia="Arial" w:hAnsi="Arial"/>
          <w:sz w:val="22"/>
          <w:szCs w:val="22"/>
        </w:rPr>
        <w:t xml:space="preserve">Delete operations are not available from the detail screen.</w:t>
      </w:r>
    </w:p>
    <w:p>
      <w:pPr>
        <w:pStyle w:val="ListParagraph"/>
        <w:numPr>
          <w:ilvl w:val="0"/>
          <w:numId w:val="2"/>
        </w:numPr>
        <w:spacing w:after="80"/>
      </w:pPr>
      <w:r>
        <w:rPr>
          <w:rFonts w:ascii="Arial" w:cs="Arial" w:eastAsia="Arial" w:hAnsi="Arial"/>
          <w:b/>
          <w:bCs/>
          <w:sz w:val="22"/>
          <w:szCs w:val="22"/>
        </w:rPr>
        <w:t xml:space="preserve">Role-independent. </w:t>
      </w:r>
      <w:r>
        <w:rPr>
          <w:rFonts w:ascii="Arial" w:cs="Arial" w:eastAsia="Arial" w:hAnsi="Arial"/>
          <w:sz w:val="22"/>
          <w:szCs w:val="22"/>
        </w:rPr>
        <w:t xml:space="preserve">The detail screen layout and behavior are identical for all roles. The only difference is which records a user can reach, governed by the role-based data filter on the grid.</w:t>
      </w:r>
    </w:p>
    <w:p>
      <w:pPr>
        <w:pStyle w:val="Heading2"/>
        <w:spacing w:after="160" w:before="280"/>
      </w:pPr>
      <w:r>
        <w:rPr>
          <w:rFonts w:ascii="Arial" w:cs="Arial" w:eastAsia="Arial" w:hAnsi="Arial"/>
          <w:b/>
          <w:bCs/>
          <w:color w:val="1F3864"/>
          <w:sz w:val="24"/>
          <w:szCs w:val="24"/>
        </w:rPr>
        <w:t xml:space="preserve">4.8 Session Workflow</w:t>
      </w:r>
    </w:p>
    <w:p>
      <w:pPr>
        <w:spacing w:after="160"/>
      </w:pPr>
      <w:r>
        <w:rPr>
          <w:rFonts w:ascii="Arial" w:cs="Arial" w:eastAsia="Arial" w:hAnsi="Arial"/>
          <w:color w:val="000000"/>
          <w:sz w:val="22"/>
          <w:szCs w:val="22"/>
        </w:rPr>
        <w:t xml:space="preserve">From the engagement detail screen, the mentor initiates a session in one of two ways: selecting an existing session with Scheduled status from the session history, or creating a new session if none is scheduled.</w:t>
      </w:r>
    </w:p>
    <w:p>
      <w:pPr>
        <w:spacing w:after="120" w:before="200"/>
      </w:pPr>
      <w:r>
        <w:rPr>
          <w:rFonts w:ascii="Arial" w:cs="Arial" w:eastAsia="Arial" w:hAnsi="Arial"/>
          <w:b/>
          <w:bCs/>
          <w:color w:val="1F3864"/>
          <w:sz w:val="22"/>
          <w:szCs w:val="22"/>
        </w:rPr>
        <w:t xml:space="preserve">Session Form</w:t>
      </w:r>
    </w:p>
    <w:p>
      <w:pPr>
        <w:spacing w:after="160"/>
      </w:pPr>
      <w:r>
        <w:rPr>
          <w:rFonts w:ascii="Arial" w:cs="Arial" w:eastAsia="Arial" w:hAnsi="Arial"/>
          <w:color w:val="000000"/>
          <w:sz w:val="22"/>
          <w:szCs w:val="22"/>
        </w:rPr>
        <w:t xml:space="preserve">The session form captures the following information:</w:t>
      </w:r>
    </w:p>
    <w:p>
      <w:pPr>
        <w:pStyle w:val="ListParagraph"/>
        <w:numPr>
          <w:ilvl w:val="0"/>
          <w:numId w:val="2"/>
        </w:numPr>
        <w:spacing w:after="80"/>
      </w:pPr>
      <w:r>
        <w:rPr>
          <w:rFonts w:ascii="Arial" w:cs="Arial" w:eastAsia="Arial" w:hAnsi="Arial"/>
          <w:sz w:val="22"/>
          <w:szCs w:val="22"/>
        </w:rPr>
        <w:t xml:space="preserve">Session date and time</w:t>
      </w:r>
    </w:p>
    <w:p>
      <w:pPr>
        <w:pStyle w:val="ListParagraph"/>
        <w:numPr>
          <w:ilvl w:val="0"/>
          <w:numId w:val="2"/>
        </w:numPr>
        <w:spacing w:after="80"/>
      </w:pPr>
      <w:r>
        <w:rPr>
          <w:rFonts w:ascii="Arial" w:cs="Arial" w:eastAsia="Arial" w:hAnsi="Arial"/>
          <w:sz w:val="22"/>
          <w:szCs w:val="22"/>
        </w:rPr>
        <w:t xml:space="preserve">Session duration</w:t>
      </w:r>
    </w:p>
    <w:p>
      <w:pPr>
        <w:pStyle w:val="ListParagraph"/>
        <w:numPr>
          <w:ilvl w:val="0"/>
          <w:numId w:val="2"/>
        </w:numPr>
        <w:spacing w:after="80"/>
      </w:pPr>
      <w:r>
        <w:rPr>
          <w:rFonts w:ascii="Arial" w:cs="Arial" w:eastAsia="Arial" w:hAnsi="Arial"/>
          <w:sz w:val="22"/>
          <w:szCs w:val="22"/>
        </w:rPr>
        <w:t xml:space="preserve">Attendees (who was present)</w:t>
      </w:r>
    </w:p>
    <w:p>
      <w:pPr>
        <w:pStyle w:val="ListParagraph"/>
        <w:numPr>
          <w:ilvl w:val="0"/>
          <w:numId w:val="2"/>
        </w:numPr>
        <w:spacing w:after="80"/>
      </w:pPr>
      <w:r>
        <w:rPr>
          <w:rFonts w:ascii="Arial" w:cs="Arial" w:eastAsia="Arial" w:hAnsi="Arial"/>
          <w:sz w:val="22"/>
          <w:szCs w:val="22"/>
        </w:rPr>
        <w:t xml:space="preserve">Session status</w:t>
      </w:r>
    </w:p>
    <w:p>
      <w:pPr>
        <w:pStyle w:val="ListParagraph"/>
        <w:numPr>
          <w:ilvl w:val="0"/>
          <w:numId w:val="2"/>
        </w:numPr>
        <w:spacing w:after="80"/>
      </w:pPr>
      <w:r>
        <w:rPr>
          <w:rFonts w:ascii="Arial" w:cs="Arial" w:eastAsia="Arial" w:hAnsi="Arial"/>
          <w:sz w:val="22"/>
          <w:szCs w:val="22"/>
        </w:rPr>
        <w:t xml:space="preserve">Session notes</w:t>
      </w:r>
    </w:p>
    <w:p>
      <w:pPr>
        <w:pStyle w:val="ListParagraph"/>
        <w:numPr>
          <w:ilvl w:val="0"/>
          <w:numId w:val="2"/>
        </w:numPr>
        <w:spacing w:after="80"/>
      </w:pPr>
      <w:r>
        <w:rPr>
          <w:rFonts w:ascii="Arial" w:cs="Arial" w:eastAsia="Arial" w:hAnsi="Arial"/>
          <w:sz w:val="22"/>
          <w:szCs w:val="22"/>
        </w:rPr>
        <w:t xml:space="preserve">Topics discussed</w:t>
      </w:r>
    </w:p>
    <w:p>
      <w:pPr>
        <w:pStyle w:val="ListParagraph"/>
        <w:numPr>
          <w:ilvl w:val="0"/>
          <w:numId w:val="2"/>
        </w:numPr>
        <w:spacing w:after="80"/>
      </w:pPr>
      <w:r>
        <w:rPr>
          <w:rFonts w:ascii="Arial" w:cs="Arial" w:eastAsia="Arial" w:hAnsi="Arial"/>
          <w:sz w:val="22"/>
          <w:szCs w:val="22"/>
        </w:rPr>
        <w:t xml:space="preserve">Next session date and time</w:t>
      </w:r>
    </w:p>
    <w:p>
      <w:pPr>
        <w:spacing w:after="160"/>
      </w:pPr>
      <w:r>
        <w:rPr>
          <w:rFonts w:ascii="Arial" w:cs="Arial" w:eastAsia="Arial" w:hAnsi="Arial"/>
          <w:color w:val="000000"/>
          <w:sz w:val="22"/>
          <w:szCs w:val="22"/>
        </w:rPr>
        <w:t xml:space="preserve">All fields auto-save as they are completed, consistent with the detail screen editing behavior.</w:t>
      </w:r>
    </w:p>
    <w:p>
      <w:pPr>
        <w:spacing w:after="120" w:before="200"/>
      </w:pPr>
      <w:r>
        <w:rPr>
          <w:rFonts w:ascii="Arial" w:cs="Arial" w:eastAsia="Arial" w:hAnsi="Arial"/>
          <w:b/>
          <w:bCs/>
          <w:color w:val="1F3864"/>
          <w:sz w:val="22"/>
          <w:szCs w:val="22"/>
        </w:rPr>
        <w:t xml:space="preserve">Calendar Invite Creation</w:t>
      </w:r>
    </w:p>
    <w:p>
      <w:pPr>
        <w:spacing w:after="160"/>
      </w:pPr>
      <w:r>
        <w:rPr>
          <w:rFonts w:ascii="Arial" w:cs="Arial" w:eastAsia="Arial" w:hAnsi="Arial"/>
          <w:color w:val="000000"/>
          <w:sz w:val="22"/>
          <w:szCs w:val="22"/>
        </w:rPr>
        <w:t xml:space="preserve">When the mentor enters a next session date and time, the application creates a Google Calendar event via the Google Calendar API (see Section 9). The event is created on the mentor’s Google Calendar with the following attendees automatically included:</w:t>
      </w:r>
    </w:p>
    <w:p>
      <w:pPr>
        <w:pStyle w:val="ListParagraph"/>
        <w:numPr>
          <w:ilvl w:val="0"/>
          <w:numId w:val="2"/>
        </w:numPr>
        <w:spacing w:after="80"/>
      </w:pPr>
      <w:r>
        <w:rPr>
          <w:rFonts w:ascii="Arial" w:cs="Arial" w:eastAsia="Arial" w:hAnsi="Arial"/>
          <w:sz w:val="22"/>
          <w:szCs w:val="22"/>
        </w:rPr>
        <w:t xml:space="preserve">All engagement contacts (the client and any additional contacts)</w:t>
      </w:r>
    </w:p>
    <w:p>
      <w:pPr>
        <w:pStyle w:val="ListParagraph"/>
        <w:numPr>
          <w:ilvl w:val="0"/>
          <w:numId w:val="2"/>
        </w:numPr>
        <w:spacing w:after="80"/>
      </w:pPr>
      <w:r>
        <w:rPr>
          <w:rFonts w:ascii="Arial" w:cs="Arial" w:eastAsia="Arial" w:hAnsi="Arial"/>
          <w:sz w:val="22"/>
          <w:szCs w:val="22"/>
        </w:rPr>
        <w:t xml:space="preserve">All co-mentors and SMEs assigned to the engagement</w:t>
      </w:r>
    </w:p>
    <w:p>
      <w:pPr>
        <w:spacing w:after="160"/>
      </w:pPr>
      <w:r>
        <w:rPr>
          <w:rFonts w:ascii="Arial" w:cs="Arial" w:eastAsia="Arial" w:hAnsi="Arial"/>
          <w:color w:val="000000"/>
          <w:sz w:val="22"/>
          <w:szCs w:val="22"/>
        </w:rPr>
        <w:t xml:space="preserve">Google Calendar automatically sends invite emails to all attendees when the event is created.</w:t>
      </w:r>
    </w:p>
    <w:p>
      <w:pPr>
        <w:spacing w:after="120" w:before="200"/>
      </w:pPr>
      <w:r>
        <w:rPr>
          <w:rFonts w:ascii="Arial" w:cs="Arial" w:eastAsia="Arial" w:hAnsi="Arial"/>
          <w:b/>
          <w:bCs/>
          <w:color w:val="1F3864"/>
          <w:sz w:val="22"/>
          <w:szCs w:val="22"/>
        </w:rPr>
        <w:t xml:space="preserve">Session Completion</w:t>
      </w:r>
    </w:p>
    <w:p>
      <w:pPr>
        <w:spacing w:after="160"/>
      </w:pPr>
      <w:r>
        <w:rPr>
          <w:rFonts w:ascii="Arial" w:cs="Arial" w:eastAsia="Arial" w:hAnsi="Arial"/>
          <w:color w:val="000000"/>
          <w:sz w:val="22"/>
          <w:szCs w:val="22"/>
        </w:rPr>
        <w:t xml:space="preserve">When the mentor presses the Done button on the session form, the application presents a session summary email workflow:</w:t>
      </w:r>
    </w:p>
    <w:p>
      <w:pPr>
        <w:pStyle w:val="ListParagraph"/>
        <w:numPr>
          <w:ilvl w:val="0"/>
          <w:numId w:val="3"/>
        </w:numPr>
        <w:spacing w:after="80"/>
      </w:pPr>
      <w:r>
        <w:rPr>
          <w:rFonts w:ascii="Arial" w:cs="Arial" w:eastAsia="Arial" w:hAnsi="Arial"/>
          <w:sz w:val="22"/>
          <w:szCs w:val="22"/>
        </w:rPr>
        <w:t xml:space="preserve">The application composes an email pre-populated with the session notes and next steps from the session form.</w:t>
      </w:r>
    </w:p>
    <w:p>
      <w:pPr>
        <w:pStyle w:val="ListParagraph"/>
        <w:numPr>
          <w:ilvl w:val="0"/>
          <w:numId w:val="3"/>
        </w:numPr>
        <w:spacing w:after="80"/>
      </w:pPr>
      <w:r>
        <w:rPr>
          <w:rFonts w:ascii="Arial" w:cs="Arial" w:eastAsia="Arial" w:hAnsi="Arial"/>
          <w:sz w:val="22"/>
          <w:szCs w:val="22"/>
        </w:rPr>
        <w:t xml:space="preserve">The default recipient list includes all engagement contacts (client, co-mentors, SMEs). The mentor can deselect individual recipients.</w:t>
      </w:r>
    </w:p>
    <w:p>
      <w:pPr>
        <w:pStyle w:val="ListParagraph"/>
        <w:numPr>
          <w:ilvl w:val="0"/>
          <w:numId w:val="3"/>
        </w:numPr>
        <w:spacing w:after="80"/>
      </w:pPr>
      <w:r>
        <w:rPr>
          <w:rFonts w:ascii="Arial" w:cs="Arial" w:eastAsia="Arial" w:hAnsi="Arial"/>
          <w:sz w:val="22"/>
          <w:szCs w:val="22"/>
        </w:rPr>
        <w:t xml:space="preserve">The mentor can review and edit the email content before sending.</w:t>
      </w:r>
    </w:p>
    <w:p>
      <w:pPr>
        <w:pStyle w:val="ListParagraph"/>
        <w:numPr>
          <w:ilvl w:val="0"/>
          <w:numId w:val="3"/>
        </w:numPr>
        <w:spacing w:after="80"/>
      </w:pPr>
      <w:r>
        <w:rPr>
          <w:rFonts w:ascii="Arial" w:cs="Arial" w:eastAsia="Arial" w:hAnsi="Arial"/>
          <w:sz w:val="22"/>
          <w:szCs w:val="22"/>
        </w:rPr>
        <w:t xml:space="preserve">Pressing Send dispatches the email via the Gmail API (see Section 9). The sent email appears in the mentor’s Gmail sent folder.</w:t>
      </w:r>
    </w:p>
    <w:p>
      <w:pPr>
        <w:pStyle w:val="Heading2"/>
        <w:spacing w:after="160" w:before="280"/>
      </w:pPr>
      <w:r>
        <w:rPr>
          <w:rFonts w:ascii="Arial" w:cs="Arial" w:eastAsia="Arial" w:hAnsi="Arial"/>
          <w:b/>
          <w:bCs/>
          <w:color w:val="1F3864"/>
          <w:sz w:val="24"/>
          <w:szCs w:val="24"/>
        </w:rPr>
        <w:t xml:space="preserve">4.9 Detail Screen Design</w:t>
      </w:r>
    </w:p>
    <w:p>
      <w:pPr>
        <w:spacing w:after="160"/>
      </w:pPr>
      <w:r>
        <w:rPr>
          <w:rFonts w:ascii="Arial" w:cs="Arial" w:eastAsia="Arial" w:hAnsi="Arial"/>
          <w:color w:val="000000"/>
          <w:sz w:val="22"/>
          <w:szCs w:val="22"/>
        </w:rPr>
        <w:t xml:space="preserve">The engagement detail screen and session form are custom code artifacts, not runtime configurations. They are designed for efficient use on large-format monitors, presenting all related entity data in a single screen to minimize navigation. The development workflow for detail screens is:</w:t>
      </w:r>
    </w:p>
    <w:p>
      <w:pPr>
        <w:pStyle w:val="ListParagraph"/>
        <w:numPr>
          <w:ilvl w:val="0"/>
          <w:numId w:val="3"/>
        </w:numPr>
        <w:spacing w:after="80"/>
      </w:pPr>
      <w:r>
        <w:rPr>
          <w:rFonts w:ascii="Arial" w:cs="Arial" w:eastAsia="Arial" w:hAnsi="Arial"/>
          <w:sz w:val="22"/>
          <w:szCs w:val="22"/>
        </w:rPr>
        <w:t xml:space="preserve">The data source defines the entities, relationships, and fields involved.</w:t>
      </w:r>
    </w:p>
    <w:p>
      <w:pPr>
        <w:pStyle w:val="ListParagraph"/>
        <w:numPr>
          <w:ilvl w:val="0"/>
          <w:numId w:val="3"/>
        </w:numPr>
        <w:spacing w:after="80"/>
      </w:pPr>
      <w:r>
        <w:rPr>
          <w:rFonts w:ascii="Arial" w:cs="Arial" w:eastAsia="Arial" w:hAnsi="Arial"/>
          <w:sz w:val="22"/>
          <w:szCs w:val="22"/>
        </w:rPr>
        <w:t xml:space="preserve">An AI-assisted process generates an initial detail screen component based on the data source definition.</w:t>
      </w:r>
    </w:p>
    <w:p>
      <w:pPr>
        <w:pStyle w:val="ListParagraph"/>
        <w:numPr>
          <w:ilvl w:val="0"/>
          <w:numId w:val="3"/>
        </w:numPr>
        <w:spacing w:after="80"/>
      </w:pPr>
      <w:r>
        <w:rPr>
          <w:rFonts w:ascii="Arial" w:cs="Arial" w:eastAsia="Arial" w:hAnsi="Arial"/>
          <w:sz w:val="22"/>
          <w:szCs w:val="22"/>
        </w:rPr>
        <w:t xml:space="preserve">A developer reviews and enhances the generated component for optimal usability and efficiency.</w:t>
      </w:r>
    </w:p>
    <w:p>
      <w:pPr>
        <w:pStyle w:val="ListParagraph"/>
        <w:numPr>
          <w:ilvl w:val="0"/>
          <w:numId w:val="3"/>
        </w:numPr>
        <w:spacing w:after="80"/>
      </w:pPr>
      <w:r>
        <w:rPr>
          <w:rFonts w:ascii="Arial" w:cs="Arial" w:eastAsia="Arial" w:hAnsi="Arial"/>
          <w:sz w:val="22"/>
          <w:szCs w:val="22"/>
        </w:rPr>
        <w:t xml:space="preserve">The finished component is deployed with the application.</w:t>
      </w:r>
    </w:p>
    <w:p>
      <w:pPr>
        <w:spacing w:after="160"/>
      </w:pPr>
      <w:r>
        <w:rPr>
          <w:rFonts w:ascii="Arial" w:cs="Arial" w:eastAsia="Arial" w:hAnsi="Arial"/>
          <w:color w:val="000000"/>
          <w:sz w:val="22"/>
          <w:szCs w:val="22"/>
        </w:rPr>
        <w:t xml:space="preserve">Adding or modifying a detail screen requires a code deployment. Detail screens are not configurable at runtime.</w:t>
      </w:r>
    </w:p>
    <w:p>
      <w:r>
        <w:br w:type="page"/>
      </w:r>
    </w:p>
    <w:p>
      <w:pPr>
        <w:pStyle w:val="Heading1"/>
        <w:spacing w:after="200" w:before="360"/>
      </w:pPr>
      <w:r>
        <w:rPr>
          <w:rFonts w:ascii="Arial" w:cs="Arial" w:eastAsia="Arial" w:hAnsi="Arial"/>
          <w:b/>
          <w:bCs/>
          <w:color w:val="1F3864"/>
          <w:sz w:val="28"/>
          <w:szCs w:val="28"/>
        </w:rPr>
        <w:t xml:space="preserve">5. Administrator Experience</w:t>
      </w:r>
    </w:p>
    <w:p>
      <w:pPr>
        <w:pStyle w:val="Heading2"/>
        <w:spacing w:after="160" w:before="280"/>
      </w:pPr>
      <w:r>
        <w:rPr>
          <w:rFonts w:ascii="Arial" w:cs="Arial" w:eastAsia="Arial" w:hAnsi="Arial"/>
          <w:b/>
          <w:bCs/>
          <w:color w:val="1F3864"/>
          <w:sz w:val="24"/>
          <w:szCs w:val="24"/>
        </w:rPr>
        <w:t xml:space="preserve">5.1 View Management (Admin and Super Admin)</w:t>
      </w:r>
    </w:p>
    <w:p>
      <w:pPr>
        <w:spacing w:after="160"/>
      </w:pPr>
      <w:r>
        <w:rPr>
          <w:rFonts w:ascii="Arial" w:cs="Arial" w:eastAsia="Arial" w:hAnsi="Arial"/>
          <w:color w:val="000000"/>
          <w:sz w:val="22"/>
          <w:szCs w:val="22"/>
        </w:rPr>
        <w:t xml:space="preserve">Admins and Super Admins access a dedicated view management screen to create and manage views. The view management workflow:</w:t>
      </w:r>
    </w:p>
    <w:p>
      <w:pPr>
        <w:pStyle w:val="ListParagraph"/>
        <w:numPr>
          <w:ilvl w:val="0"/>
          <w:numId w:val="3"/>
        </w:numPr>
        <w:spacing w:after="80"/>
      </w:pPr>
      <w:r>
        <w:rPr>
          <w:rFonts w:ascii="Arial" w:cs="Arial" w:eastAsia="Arial" w:hAnsi="Arial"/>
          <w:sz w:val="22"/>
          <w:szCs w:val="22"/>
        </w:rPr>
        <w:t xml:space="preserve">Select an existing active data source as the foundation.</w:t>
      </w:r>
    </w:p>
    <w:p>
      <w:pPr>
        <w:pStyle w:val="ListParagraph"/>
        <w:numPr>
          <w:ilvl w:val="0"/>
          <w:numId w:val="3"/>
        </w:numPr>
        <w:spacing w:after="80"/>
      </w:pPr>
      <w:r>
        <w:rPr>
          <w:rFonts w:ascii="Arial" w:cs="Arial" w:eastAsia="Arial" w:hAnsi="Arial"/>
          <w:sz w:val="22"/>
          <w:szCs w:val="22"/>
        </w:rPr>
        <w:t xml:space="preserve">Choose which columns from the data source to include, and set their display order.</w:t>
      </w:r>
    </w:p>
    <w:p>
      <w:pPr>
        <w:pStyle w:val="ListParagraph"/>
        <w:numPr>
          <w:ilvl w:val="0"/>
          <w:numId w:val="3"/>
        </w:numPr>
        <w:spacing w:after="80"/>
      </w:pPr>
      <w:r>
        <w:rPr>
          <w:rFonts w:ascii="Arial" w:cs="Arial" w:eastAsia="Arial" w:hAnsi="Arial"/>
          <w:sz w:val="22"/>
          <w:szCs w:val="22"/>
        </w:rPr>
        <w:t xml:space="preserve">Define any preset filter conditions.</w:t>
      </w:r>
    </w:p>
    <w:p>
      <w:pPr>
        <w:pStyle w:val="ListParagraph"/>
        <w:numPr>
          <w:ilvl w:val="0"/>
          <w:numId w:val="3"/>
        </w:numPr>
        <w:spacing w:after="80"/>
      </w:pPr>
      <w:r>
        <w:rPr>
          <w:rFonts w:ascii="Arial" w:cs="Arial" w:eastAsia="Arial" w:hAnsi="Arial"/>
          <w:sz w:val="22"/>
          <w:szCs w:val="22"/>
        </w:rPr>
        <w:t xml:space="preserve">Set the default sort column and direction.</w:t>
      </w:r>
    </w:p>
    <w:p>
      <w:pPr>
        <w:pStyle w:val="ListParagraph"/>
        <w:numPr>
          <w:ilvl w:val="0"/>
          <w:numId w:val="3"/>
        </w:numPr>
        <w:spacing w:after="80"/>
      </w:pPr>
      <w:r>
        <w:rPr>
          <w:rFonts w:ascii="Arial" w:cs="Arial" w:eastAsia="Arial" w:hAnsi="Arial"/>
          <w:sz w:val="22"/>
          <w:szCs w:val="22"/>
        </w:rPr>
        <w:t xml:space="preserve">Configure display options (hierarchy levels visible, default collapsed state).</w:t>
      </w:r>
    </w:p>
    <w:p>
      <w:pPr>
        <w:pStyle w:val="ListParagraph"/>
        <w:numPr>
          <w:ilvl w:val="0"/>
          <w:numId w:val="3"/>
        </w:numPr>
        <w:spacing w:after="80"/>
      </w:pPr>
      <w:r>
        <w:rPr>
          <w:rFonts w:ascii="Arial" w:cs="Arial" w:eastAsia="Arial" w:hAnsi="Arial"/>
          <w:sz w:val="22"/>
          <w:szCs w:val="22"/>
        </w:rPr>
        <w:t xml:space="preserve">Name and describe the view.</w:t>
      </w:r>
    </w:p>
    <w:p>
      <w:pPr>
        <w:spacing w:after="160"/>
      </w:pPr>
      <w:r>
        <w:rPr>
          <w:rFonts w:ascii="Arial" w:cs="Arial" w:eastAsia="Arial" w:hAnsi="Arial"/>
          <w:color w:val="000000"/>
          <w:sz w:val="22"/>
          <w:szCs w:val="22"/>
        </w:rPr>
        <w:t xml:space="preserve">Admins and Super Admins can also edit existing views and set views to Active or Inactive status. Inactive views are hidden from all users but their configuration is preserved. There is no permanent delete for views.</w:t>
      </w:r>
    </w:p>
    <w:p>
      <w:pPr>
        <w:pStyle w:val="Heading2"/>
        <w:spacing w:after="160" w:before="280"/>
      </w:pPr>
      <w:r>
        <w:rPr>
          <w:rFonts w:ascii="Arial" w:cs="Arial" w:eastAsia="Arial" w:hAnsi="Arial"/>
          <w:b/>
          <w:bCs/>
          <w:color w:val="1F3864"/>
          <w:sz w:val="24"/>
          <w:szCs w:val="24"/>
        </w:rPr>
        <w:t xml:space="preserve">5.2 Data Source Management (Super Admin Only)</w:t>
      </w:r>
    </w:p>
    <w:p>
      <w:pPr>
        <w:spacing w:after="160"/>
      </w:pPr>
      <w:r>
        <w:rPr>
          <w:rFonts w:ascii="Arial" w:cs="Arial" w:eastAsia="Arial" w:hAnsi="Arial"/>
          <w:color w:val="000000"/>
          <w:sz w:val="22"/>
          <w:szCs w:val="22"/>
        </w:rPr>
        <w:t xml:space="preserve">Super Admins access a dedicated data source management screen to create and manage data sources. The data source management workflow:</w:t>
      </w:r>
    </w:p>
    <w:p>
      <w:pPr>
        <w:pStyle w:val="ListParagraph"/>
        <w:numPr>
          <w:ilvl w:val="0"/>
          <w:numId w:val="3"/>
        </w:numPr>
        <w:spacing w:after="80"/>
      </w:pPr>
      <w:r>
        <w:rPr>
          <w:rFonts w:ascii="Arial" w:cs="Arial" w:eastAsia="Arial" w:hAnsi="Arial"/>
          <w:sz w:val="22"/>
          <w:szCs w:val="22"/>
        </w:rPr>
        <w:t xml:space="preserve">Name and describe the data source.</w:t>
      </w:r>
    </w:p>
    <w:p>
      <w:pPr>
        <w:pStyle w:val="ListParagraph"/>
        <w:numPr>
          <w:ilvl w:val="0"/>
          <w:numId w:val="3"/>
        </w:numPr>
        <w:spacing w:after="80"/>
      </w:pPr>
      <w:r>
        <w:rPr>
          <w:rFonts w:ascii="Arial" w:cs="Arial" w:eastAsia="Arial" w:hAnsi="Arial"/>
          <w:sz w:val="22"/>
          <w:szCs w:val="22"/>
        </w:rPr>
        <w:t xml:space="preserve">Write the SQL query in a text editor.</w:t>
      </w:r>
    </w:p>
    <w:p>
      <w:pPr>
        <w:pStyle w:val="ListParagraph"/>
        <w:numPr>
          <w:ilvl w:val="0"/>
          <w:numId w:val="3"/>
        </w:numPr>
        <w:spacing w:after="80"/>
      </w:pPr>
      <w:r>
        <w:rPr>
          <w:rFonts w:ascii="Arial" w:cs="Arial" w:eastAsia="Arial" w:hAnsi="Arial"/>
          <w:sz w:val="22"/>
          <w:szCs w:val="22"/>
        </w:rPr>
        <w:t xml:space="preserve">Use the test/preview function to execute the query and review results as a flat table. Test parameter values can be supplied for queries that include named parameters.</w:t>
      </w:r>
    </w:p>
    <w:p>
      <w:pPr>
        <w:pStyle w:val="ListParagraph"/>
        <w:numPr>
          <w:ilvl w:val="0"/>
          <w:numId w:val="3"/>
        </w:numPr>
        <w:spacing w:after="80"/>
      </w:pPr>
      <w:r>
        <w:rPr>
          <w:rFonts w:ascii="Arial" w:cs="Arial" w:eastAsia="Arial" w:hAnsi="Arial"/>
          <w:sz w:val="22"/>
          <w:szCs w:val="22"/>
        </w:rPr>
        <w:t xml:space="preserve">Define column metadata: logical name, display label, and data type for each column returned by the query.</w:t>
      </w:r>
    </w:p>
    <w:p>
      <w:pPr>
        <w:pStyle w:val="ListParagraph"/>
        <w:numPr>
          <w:ilvl w:val="0"/>
          <w:numId w:val="3"/>
        </w:numPr>
        <w:spacing w:after="80"/>
      </w:pPr>
      <w:r>
        <w:rPr>
          <w:rFonts w:ascii="Arial" w:cs="Arial" w:eastAsia="Arial" w:hAnsi="Arial"/>
          <w:sz w:val="22"/>
          <w:szCs w:val="22"/>
        </w:rPr>
        <w:t xml:space="preserve">Define the hierarchy: ordered levels with grouping keys and display columns.</w:t>
      </w:r>
    </w:p>
    <w:p>
      <w:pPr>
        <w:pStyle w:val="ListParagraph"/>
        <w:numPr>
          <w:ilvl w:val="0"/>
          <w:numId w:val="3"/>
        </w:numPr>
        <w:spacing w:after="80"/>
      </w:pPr>
      <w:r>
        <w:rPr>
          <w:rFonts w:ascii="Arial" w:cs="Arial" w:eastAsia="Arial" w:hAnsi="Arial"/>
          <w:sz w:val="22"/>
          <w:szCs w:val="22"/>
        </w:rPr>
        <w:t xml:space="preserve">Declare named parameters.</w:t>
      </w:r>
    </w:p>
    <w:p>
      <w:pPr>
        <w:spacing w:after="160"/>
      </w:pPr>
      <w:r>
        <w:rPr>
          <w:rFonts w:ascii="Arial" w:cs="Arial" w:eastAsia="Arial" w:hAnsi="Arial"/>
          <w:color w:val="000000"/>
          <w:sz w:val="22"/>
          <w:szCs w:val="22"/>
        </w:rPr>
        <w:t xml:space="preserve">Super Admins can also edit existing data sources and set them to Active or Inactive status. Deactivating a data source automatically makes all dependent views unavailable. The application warns the Super Admin of affected views before confirming the deactivation. There is no permanent delete for data sources.</w:t>
      </w:r>
    </w:p>
    <w:p>
      <w:pPr>
        <w:pStyle w:val="Heading2"/>
        <w:spacing w:after="160" w:before="280"/>
      </w:pPr>
      <w:r>
        <w:rPr>
          <w:rFonts w:ascii="Arial" w:cs="Arial" w:eastAsia="Arial" w:hAnsi="Arial"/>
          <w:b/>
          <w:bCs/>
          <w:color w:val="1F3864"/>
          <w:sz w:val="24"/>
          <w:szCs w:val="24"/>
        </w:rPr>
        <w:t xml:space="preserve">5.3 Test/Preview</w:t>
      </w:r>
    </w:p>
    <w:p>
      <w:pPr>
        <w:spacing w:after="160"/>
      </w:pPr>
      <w:r>
        <w:rPr>
          <w:rFonts w:ascii="Arial" w:cs="Arial" w:eastAsia="Arial" w:hAnsi="Arial"/>
          <w:color w:val="000000"/>
          <w:sz w:val="22"/>
          <w:szCs w:val="22"/>
        </w:rPr>
        <w:t xml:space="preserve">The data source management screen includes a test/preview function that executes the SQL query against the CRM database and displays the result set as a flat table. This allows the Super Admin to verify that the query returns the expected data before saving the data source definition. The preview does not apply hierarchy grouping — it shows the raw query results. Hierarchy grouping can be verified by creating a view on top of the data source.</w:t>
      </w:r>
    </w:p>
    <w:p>
      <w:r>
        <w:br w:type="page"/>
      </w:r>
    </w:p>
    <w:p>
      <w:pPr>
        <w:pStyle w:val="Heading1"/>
        <w:spacing w:after="200" w:before="360"/>
      </w:pPr>
      <w:r>
        <w:rPr>
          <w:rFonts w:ascii="Arial" w:cs="Arial" w:eastAsia="Arial" w:hAnsi="Arial"/>
          <w:b/>
          <w:bCs/>
          <w:color w:val="1F3864"/>
          <w:sz w:val="28"/>
          <w:szCs w:val="28"/>
        </w:rPr>
        <w:t xml:space="preserve">6. Data Access Layer</w:t>
      </w:r>
    </w:p>
    <w:p>
      <w:pPr>
        <w:pStyle w:val="Heading2"/>
        <w:spacing w:after="160" w:before="280"/>
      </w:pPr>
      <w:r>
        <w:rPr>
          <w:rFonts w:ascii="Arial" w:cs="Arial" w:eastAsia="Arial" w:hAnsi="Arial"/>
          <w:b/>
          <w:bCs/>
          <w:color w:val="1F3864"/>
          <w:sz w:val="24"/>
          <w:szCs w:val="24"/>
        </w:rPr>
        <w:t xml:space="preserve">6.1 Read Path</w:t>
      </w:r>
    </w:p>
    <w:p>
      <w:pPr>
        <w:spacing w:after="160"/>
      </w:pPr>
      <w:r>
        <w:rPr>
          <w:rFonts w:ascii="Arial" w:cs="Arial" w:eastAsia="Arial" w:hAnsi="Arial"/>
          <w:color w:val="000000"/>
          <w:sz w:val="22"/>
          <w:szCs w:val="22"/>
        </w:rPr>
        <w:t xml:space="preserve">All read operations execute directly against the CRM database. When a user selects a view, the backend:</w:t>
      </w:r>
    </w:p>
    <w:p>
      <w:pPr>
        <w:pStyle w:val="ListParagraph"/>
        <w:numPr>
          <w:ilvl w:val="0"/>
          <w:numId w:val="3"/>
        </w:numPr>
        <w:spacing w:after="80"/>
      </w:pPr>
      <w:r>
        <w:rPr>
          <w:rFonts w:ascii="Arial" w:cs="Arial" w:eastAsia="Arial" w:hAnsi="Arial"/>
          <w:sz w:val="22"/>
          <w:szCs w:val="22"/>
        </w:rPr>
        <w:t xml:space="preserve">Retrieves the view’s configuration, including its referenced data source.</w:t>
      </w:r>
    </w:p>
    <w:p>
      <w:pPr>
        <w:pStyle w:val="ListParagraph"/>
        <w:numPr>
          <w:ilvl w:val="0"/>
          <w:numId w:val="3"/>
        </w:numPr>
        <w:spacing w:after="80"/>
      </w:pPr>
      <w:r>
        <w:rPr>
          <w:rFonts w:ascii="Arial" w:cs="Arial" w:eastAsia="Arial" w:hAnsi="Arial"/>
          <w:sz w:val="22"/>
          <w:szCs w:val="22"/>
        </w:rPr>
        <w:t xml:space="preserve">Retrieves the data source’s SQL query and parameter definitions.</w:t>
      </w:r>
    </w:p>
    <w:p>
      <w:pPr>
        <w:pStyle w:val="ListParagraph"/>
        <w:numPr>
          <w:ilvl w:val="0"/>
          <w:numId w:val="3"/>
        </w:numPr>
        <w:spacing w:after="80"/>
      </w:pPr>
      <w:r>
        <w:rPr>
          <w:rFonts w:ascii="Arial" w:cs="Arial" w:eastAsia="Arial" w:hAnsi="Arial"/>
          <w:sz w:val="22"/>
          <w:szCs w:val="22"/>
        </w:rPr>
        <w:t xml:space="preserve">Injects runtime parameter values (current user identity, role-based filter, any view-level filter values).</w:t>
      </w:r>
    </w:p>
    <w:p>
      <w:pPr>
        <w:pStyle w:val="ListParagraph"/>
        <w:numPr>
          <w:ilvl w:val="0"/>
          <w:numId w:val="3"/>
        </w:numPr>
        <w:spacing w:after="80"/>
      </w:pPr>
      <w:r>
        <w:rPr>
          <w:rFonts w:ascii="Arial" w:cs="Arial" w:eastAsia="Arial" w:hAnsi="Arial"/>
          <w:sz w:val="22"/>
          <w:szCs w:val="22"/>
        </w:rPr>
        <w:t xml:space="preserve">Executes the parameterized query against the CRM database with the configured timeout.</w:t>
      </w:r>
    </w:p>
    <w:p>
      <w:pPr>
        <w:pStyle w:val="ListParagraph"/>
        <w:numPr>
          <w:ilvl w:val="0"/>
          <w:numId w:val="3"/>
        </w:numPr>
        <w:spacing w:after="80"/>
      </w:pPr>
      <w:r>
        <w:rPr>
          <w:rFonts w:ascii="Arial" w:cs="Arial" w:eastAsia="Arial" w:hAnsi="Arial"/>
          <w:sz w:val="22"/>
          <w:szCs w:val="22"/>
        </w:rPr>
        <w:t xml:space="preserve">Returns the result set to the frontend for client-side rendering, filtering, and sorting.</w:t>
      </w:r>
    </w:p>
    <w:p>
      <w:pPr>
        <w:spacing w:after="160"/>
      </w:pPr>
      <w:r>
        <w:rPr>
          <w:rFonts w:ascii="Arial" w:cs="Arial" w:eastAsia="Arial" w:hAnsi="Arial"/>
          <w:color w:val="000000"/>
          <w:sz w:val="22"/>
          <w:szCs w:val="22"/>
        </w:rPr>
        <w:t xml:space="preserve">Direct database access is used because assembling equivalent results through CRM API calls would require multiple round trips and client-side joining, which is impractical for union-style and multi-entity queries.</w:t>
      </w:r>
    </w:p>
    <w:p>
      <w:pPr>
        <w:pStyle w:val="Heading2"/>
        <w:spacing w:after="160" w:before="280"/>
      </w:pPr>
      <w:r>
        <w:rPr>
          <w:rFonts w:ascii="Arial" w:cs="Arial" w:eastAsia="Arial" w:hAnsi="Arial"/>
          <w:b/>
          <w:bCs/>
          <w:color w:val="1F3864"/>
          <w:sz w:val="24"/>
          <w:szCs w:val="24"/>
        </w:rPr>
        <w:t xml:space="preserve">6.2 Write Path</w:t>
      </w:r>
    </w:p>
    <w:p>
      <w:pPr>
        <w:spacing w:after="160"/>
      </w:pPr>
      <w:r>
        <w:rPr>
          <w:rFonts w:ascii="Arial" w:cs="Arial" w:eastAsia="Arial" w:hAnsi="Arial"/>
          <w:color w:val="000000"/>
          <w:sz w:val="22"/>
          <w:szCs w:val="22"/>
        </w:rPr>
        <w:t xml:space="preserve">All create, update, and delete operations are routed through the CRM’s REST API. This ensures that all CRM business rules, formula scripts, workflows, validation logic, and access controls are enforced. The application never writes directly to the CRM database.</w:t>
      </w:r>
    </w:p>
    <w:p>
      <w:pPr>
        <w:spacing w:after="160"/>
      </w:pPr>
      <w:r>
        <w:rPr>
          <w:rFonts w:ascii="Arial" w:cs="Arial" w:eastAsia="Arial" w:hAnsi="Arial"/>
          <w:color w:val="000000"/>
          <w:sz w:val="22"/>
          <w:szCs w:val="22"/>
        </w:rPr>
        <w:t xml:space="preserve">Write operations originate from the detail screen and session form:</w:t>
      </w:r>
    </w:p>
    <w:p>
      <w:pPr>
        <w:pStyle w:val="ListParagraph"/>
        <w:numPr>
          <w:ilvl w:val="0"/>
          <w:numId w:val="2"/>
        </w:numPr>
        <w:spacing w:after="80"/>
      </w:pPr>
      <w:r>
        <w:rPr>
          <w:rFonts w:ascii="Arial" w:cs="Arial" w:eastAsia="Arial" w:hAnsi="Arial"/>
          <w:b/>
          <w:bCs/>
          <w:sz w:val="22"/>
          <w:szCs w:val="22"/>
        </w:rPr>
        <w:t xml:space="preserve">Field updates: </w:t>
      </w:r>
      <w:r>
        <w:rPr>
          <w:rFonts w:ascii="Arial" w:cs="Arial" w:eastAsia="Arial" w:hAnsi="Arial"/>
          <w:sz w:val="22"/>
          <w:szCs w:val="22"/>
        </w:rPr>
        <w:t xml:space="preserve">When a user edits a field and completes the edit, the frontend sends the entity type, record ID, field name, and new value to the backend. The backend forwards this as an update request to the CRM API.</w:t>
      </w:r>
    </w:p>
    <w:p>
      <w:pPr>
        <w:pStyle w:val="ListParagraph"/>
        <w:numPr>
          <w:ilvl w:val="0"/>
          <w:numId w:val="2"/>
        </w:numPr>
        <w:spacing w:after="80"/>
      </w:pPr>
      <w:r>
        <w:rPr>
          <w:rFonts w:ascii="Arial" w:cs="Arial" w:eastAsia="Arial" w:hAnsi="Arial"/>
          <w:b/>
          <w:bCs/>
          <w:sz w:val="22"/>
          <w:szCs w:val="22"/>
        </w:rPr>
        <w:t xml:space="preserve">Session creation: </w:t>
      </w:r>
      <w:r>
        <w:rPr>
          <w:rFonts w:ascii="Arial" w:cs="Arial" w:eastAsia="Arial" w:hAnsi="Arial"/>
          <w:sz w:val="22"/>
          <w:szCs w:val="22"/>
        </w:rPr>
        <w:t xml:space="preserve">When a user creates a new session, the frontend sends the parent engagement ID and session data to the backend, which forwards it as a create request to the CRM API.</w:t>
      </w:r>
    </w:p>
    <w:p>
      <w:pPr>
        <w:pStyle w:val="ListParagraph"/>
        <w:numPr>
          <w:ilvl w:val="0"/>
          <w:numId w:val="2"/>
        </w:numPr>
        <w:spacing w:after="80"/>
      </w:pPr>
      <w:r>
        <w:rPr>
          <w:rFonts w:ascii="Arial" w:cs="Arial" w:eastAsia="Arial" w:hAnsi="Arial"/>
          <w:b/>
          <w:bCs/>
          <w:sz w:val="22"/>
          <w:szCs w:val="22"/>
        </w:rPr>
        <w:t xml:space="preserve">Relationship addition: </w:t>
      </w:r>
      <w:r>
        <w:rPr>
          <w:rFonts w:ascii="Arial" w:cs="Arial" w:eastAsia="Arial" w:hAnsi="Arial"/>
          <w:sz w:val="22"/>
          <w:szCs w:val="22"/>
        </w:rPr>
        <w:t xml:space="preserve">When a user adds a relationship (for example, a co-mentor), the frontend sends the entity type, record ID, related entity type, and related record ID to the backend, which forwards it as a relationship link request to the CRM API.</w:t>
      </w:r>
    </w:p>
    <w:p>
      <w:pPr>
        <w:pStyle w:val="Heading2"/>
        <w:spacing w:after="160" w:before="280"/>
      </w:pPr>
      <w:r>
        <w:rPr>
          <w:rFonts w:ascii="Arial" w:cs="Arial" w:eastAsia="Arial" w:hAnsi="Arial"/>
          <w:b/>
          <w:bCs/>
          <w:color w:val="1F3864"/>
          <w:sz w:val="24"/>
          <w:szCs w:val="24"/>
        </w:rPr>
        <w:t xml:space="preserve">6.3 External Service Path</w:t>
      </w:r>
    </w:p>
    <w:p>
      <w:pPr>
        <w:spacing w:after="160"/>
      </w:pPr>
      <w:r>
        <w:rPr>
          <w:rFonts w:ascii="Arial" w:cs="Arial" w:eastAsia="Arial" w:hAnsi="Arial"/>
          <w:color w:val="000000"/>
          <w:sz w:val="22"/>
          <w:szCs w:val="22"/>
        </w:rPr>
        <w:t xml:space="preserve">Calendar and email operations are routed through the Google Workspace APIs using the authenticated user’s OAuth credentials. The backend acts as the intermediary, holding the user’s OAuth tokens and making API calls on their behalf. These operations do not touch the CRM database or CRM API.</w:t>
      </w:r>
    </w:p>
    <w:p>
      <w:pPr>
        <w:pStyle w:val="Heading2"/>
        <w:spacing w:after="160" w:before="280"/>
      </w:pPr>
      <w:r>
        <w:rPr>
          <w:rFonts w:ascii="Arial" w:cs="Arial" w:eastAsia="Arial" w:hAnsi="Arial"/>
          <w:b/>
          <w:bCs/>
          <w:color w:val="1F3864"/>
          <w:sz w:val="24"/>
          <w:szCs w:val="24"/>
        </w:rPr>
        <w:t xml:space="preserve">6.4 Data Consistency</w:t>
      </w:r>
    </w:p>
    <w:p>
      <w:pPr>
        <w:spacing w:after="160"/>
      </w:pPr>
      <w:r>
        <w:rPr>
          <w:rFonts w:ascii="Arial" w:cs="Arial" w:eastAsia="Arial" w:hAnsi="Arial"/>
          <w:color w:val="000000"/>
          <w:sz w:val="22"/>
          <w:szCs w:val="22"/>
        </w:rPr>
        <w:t xml:space="preserve">Because reads come from the database and writes go through the CRM API, there is a potential for brief inconsistency between a write operation completing and the change being visible in the next read. In practice, because both paths access the same underlying database and the CRM API writes synchronously, this window is negligible for the expected user base and usage patterns.</w:t>
      </w:r>
    </w:p>
    <w:p>
      <w:r>
        <w:br w:type="page"/>
      </w:r>
    </w:p>
    <w:p>
      <w:pPr>
        <w:pStyle w:val="Heading1"/>
        <w:spacing w:after="200" w:before="360"/>
      </w:pPr>
      <w:r>
        <w:rPr>
          <w:rFonts w:ascii="Arial" w:cs="Arial" w:eastAsia="Arial" w:hAnsi="Arial"/>
          <w:b/>
          <w:bCs/>
          <w:color w:val="1F3864"/>
          <w:sz w:val="28"/>
          <w:szCs w:val="28"/>
        </w:rPr>
        <w:t xml:space="preserve">7. API Specification</w:t>
      </w:r>
    </w:p>
    <w:p>
      <w:pPr>
        <w:pStyle w:val="Heading2"/>
        <w:spacing w:after="160" w:before="280"/>
      </w:pPr>
      <w:r>
        <w:rPr>
          <w:rFonts w:ascii="Arial" w:cs="Arial" w:eastAsia="Arial" w:hAnsi="Arial"/>
          <w:b/>
          <w:bCs/>
          <w:color w:val="1F3864"/>
          <w:sz w:val="24"/>
          <w:szCs w:val="24"/>
        </w:rPr>
        <w:t xml:space="preserve">7.1 Overview</w:t>
      </w:r>
    </w:p>
    <w:p>
      <w:pPr>
        <w:spacing w:after="160"/>
      </w:pPr>
      <w:r>
        <w:rPr>
          <w:rFonts w:ascii="Arial" w:cs="Arial" w:eastAsia="Arial" w:hAnsi="Arial"/>
          <w:color w:val="000000"/>
          <w:sz w:val="22"/>
          <w:szCs w:val="22"/>
        </w:rPr>
        <w:t xml:space="preserve">The frontend communicates with the backend through a REST API. All endpoints require a valid authentication token except the login endpoint. The backend enforces role-based authorization on every request.</w:t>
      </w:r>
    </w:p>
    <w:p>
      <w:pPr>
        <w:pStyle w:val="Heading2"/>
        <w:spacing w:after="160" w:before="280"/>
      </w:pPr>
      <w:r>
        <w:rPr>
          <w:rFonts w:ascii="Arial" w:cs="Arial" w:eastAsia="Arial" w:hAnsi="Arial"/>
          <w:b/>
          <w:bCs/>
          <w:color w:val="1F3864"/>
          <w:sz w:val="24"/>
          <w:szCs w:val="24"/>
        </w:rPr>
        <w:t xml:space="preserve">7.2 Authentication Endpoints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2800"/>
        <w:gridCol w:w="4760"/>
      </w:tblGrid>
      <w:tr>
        <w:trPr>
          <w:tblHeader/>
        </w:trPr>
        <w:tc>
          <w:tcPr>
            <w:tcW w:type="dxa" w:w="18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22"/>
                <w:szCs w:val="22"/>
              </w:rPr>
              <w:t xml:space="preserve">Method</w:t>
            </w:r>
          </w:p>
        </w:tc>
        <w:tc>
          <w:tcPr>
            <w:tcW w:type="dxa" w:w="28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22"/>
                <w:szCs w:val="22"/>
              </w:rPr>
              <w:t xml:space="preserve">Endpoint</w:t>
            </w:r>
          </w:p>
        </w:tc>
        <w:tc>
          <w:tcPr>
            <w:tcW w:type="dxa" w:w="476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22"/>
                <w:szCs w:val="22"/>
              </w:rPr>
              <w:t xml:space="preserve">Description</w:t>
            </w:r>
          </w:p>
        </w:tc>
      </w:tr>
      <w:tr>
        <w:tc>
          <w:tcPr>
            <w:tcW w:type="dxa" w:w="18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sz w:val="22"/>
                <w:szCs w:val="22"/>
              </w:rPr>
              <w:t xml:space="preserve">POST</w:t>
            </w:r>
          </w:p>
        </w:tc>
        <w:tc>
          <w:tcPr>
            <w:tcW w:type="dxa" w:w="28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sz w:val="22"/>
                <w:szCs w:val="22"/>
              </w:rPr>
              <w:t xml:space="preserve">/auth/login</w:t>
            </w:r>
          </w:p>
        </w:tc>
        <w:tc>
          <w:tcPr>
            <w:tcW w:type="dxa" w:w="47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sz w:val="22"/>
                <w:szCs w:val="22"/>
              </w:rPr>
              <w:t xml:space="preserve">Authenticate with CRM credentials. Returns an access token and the user’s application role.</w:t>
            </w:r>
          </w:p>
        </w:tc>
      </w:tr>
      <w:tr>
        <w:tc>
          <w:tcPr>
            <w:tcW w:type="dxa" w:w="18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sz w:val="22"/>
                <w:szCs w:val="22"/>
              </w:rPr>
              <w:t xml:space="preserve">POST</w:t>
            </w:r>
          </w:p>
        </w:tc>
        <w:tc>
          <w:tcPr>
            <w:tcW w:type="dxa" w:w="28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sz w:val="22"/>
                <w:szCs w:val="22"/>
              </w:rPr>
              <w:t xml:space="preserve">/auth/logout</w:t>
            </w:r>
          </w:p>
        </w:tc>
        <w:tc>
          <w:tcPr>
            <w:tcW w:type="dxa" w:w="47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sz w:val="22"/>
                <w:szCs w:val="22"/>
              </w:rPr>
              <w:t xml:space="preserve">Invalidate the current token.</w:t>
            </w:r>
          </w:p>
        </w:tc>
      </w:tr>
      <w:tr>
        <w:tc>
          <w:tcPr>
            <w:tcW w:type="dxa" w:w="18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sz w:val="22"/>
                <w:szCs w:val="22"/>
              </w:rPr>
              <w:t xml:space="preserve">GET</w:t>
            </w:r>
          </w:p>
        </w:tc>
        <w:tc>
          <w:tcPr>
            <w:tcW w:type="dxa" w:w="28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sz w:val="22"/>
                <w:szCs w:val="22"/>
              </w:rPr>
              <w:t xml:space="preserve">/auth/me</w:t>
            </w:r>
          </w:p>
        </w:tc>
        <w:tc>
          <w:tcPr>
            <w:tcW w:type="dxa" w:w="47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sz w:val="22"/>
                <w:szCs w:val="22"/>
              </w:rPr>
              <w:t xml:space="preserve">Return the current user’s profile, role, and token expiry.</w:t>
            </w:r>
          </w:p>
        </w:tc>
      </w:tr>
      <w:tr>
        <w:tc>
          <w:tcPr>
            <w:tcW w:type="dxa" w:w="18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sz w:val="22"/>
                <w:szCs w:val="22"/>
              </w:rPr>
              <w:t xml:space="preserve">GET</w:t>
            </w:r>
          </w:p>
        </w:tc>
        <w:tc>
          <w:tcPr>
            <w:tcW w:type="dxa" w:w="28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sz w:val="22"/>
                <w:szCs w:val="22"/>
              </w:rPr>
              <w:t xml:space="preserve">/auth/google</w:t>
            </w:r>
          </w:p>
        </w:tc>
        <w:tc>
          <w:tcPr>
            <w:tcW w:type="dxa" w:w="47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sz w:val="22"/>
                <w:szCs w:val="22"/>
              </w:rPr>
              <w:t xml:space="preserve">Initiate Google Workspace OAuth flow. Redirects the user to Google’s consent screen.</w:t>
            </w:r>
          </w:p>
        </w:tc>
      </w:tr>
      <w:tr>
        <w:tc>
          <w:tcPr>
            <w:tcW w:type="dxa" w:w="18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sz w:val="22"/>
                <w:szCs w:val="22"/>
              </w:rPr>
              <w:t xml:space="preserve">GET</w:t>
            </w:r>
          </w:p>
        </w:tc>
        <w:tc>
          <w:tcPr>
            <w:tcW w:type="dxa" w:w="28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sz w:val="22"/>
                <w:szCs w:val="22"/>
              </w:rPr>
              <w:t xml:space="preserve">/auth/google/callback</w:t>
            </w:r>
          </w:p>
        </w:tc>
        <w:tc>
          <w:tcPr>
            <w:tcW w:type="dxa" w:w="47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sz w:val="22"/>
                <w:szCs w:val="22"/>
              </w:rPr>
              <w:t xml:space="preserve">Handle the OAuth callback from Google. Stores the user’s OAuth tokens.</w:t>
            </w:r>
          </w:p>
        </w:tc>
      </w:tr>
    </w:tbl>
    <w:p>
      <w:pPr>
        <w:spacing w:after="160"/>
      </w:pPr>
    </w:p>
    <w:p>
      <w:pPr>
        <w:pStyle w:val="Heading2"/>
        <w:spacing w:after="160" w:before="280"/>
      </w:pPr>
      <w:r>
        <w:rPr>
          <w:rFonts w:ascii="Arial" w:cs="Arial" w:eastAsia="Arial" w:hAnsi="Arial"/>
          <w:b/>
          <w:bCs/>
          <w:color w:val="1F3864"/>
          <w:sz w:val="24"/>
          <w:szCs w:val="24"/>
        </w:rPr>
        <w:t xml:space="preserve">7.3 View Endpoints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2800"/>
        <w:gridCol w:w="4760"/>
      </w:tblGrid>
      <w:tr>
        <w:trPr>
          <w:tblHeader/>
        </w:trPr>
        <w:tc>
          <w:tcPr>
            <w:tcW w:type="dxa" w:w="18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22"/>
                <w:szCs w:val="22"/>
              </w:rPr>
              <w:t xml:space="preserve">Method</w:t>
            </w:r>
          </w:p>
        </w:tc>
        <w:tc>
          <w:tcPr>
            <w:tcW w:type="dxa" w:w="28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22"/>
                <w:szCs w:val="22"/>
              </w:rPr>
              <w:t xml:space="preserve">Endpoint</w:t>
            </w:r>
          </w:p>
        </w:tc>
        <w:tc>
          <w:tcPr>
            <w:tcW w:type="dxa" w:w="476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22"/>
                <w:szCs w:val="22"/>
              </w:rPr>
              <w:t xml:space="preserve">Description</w:t>
            </w:r>
          </w:p>
        </w:tc>
      </w:tr>
      <w:tr>
        <w:tc>
          <w:tcPr>
            <w:tcW w:type="dxa" w:w="18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sz w:val="22"/>
                <w:szCs w:val="22"/>
              </w:rPr>
              <w:t xml:space="preserve">GET</w:t>
            </w:r>
          </w:p>
        </w:tc>
        <w:tc>
          <w:tcPr>
            <w:tcW w:type="dxa" w:w="28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sz w:val="22"/>
                <w:szCs w:val="22"/>
              </w:rPr>
              <w:t xml:space="preserve">/views</w:t>
            </w:r>
          </w:p>
        </w:tc>
        <w:tc>
          <w:tcPr>
            <w:tcW w:type="dxa" w:w="47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sz w:val="22"/>
                <w:szCs w:val="22"/>
              </w:rPr>
              <w:t xml:space="preserve">List all active views available to the current user.</w:t>
            </w:r>
          </w:p>
        </w:tc>
      </w:tr>
      <w:tr>
        <w:tc>
          <w:tcPr>
            <w:tcW w:type="dxa" w:w="18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sz w:val="22"/>
                <w:szCs w:val="22"/>
              </w:rPr>
              <w:t xml:space="preserve">GET</w:t>
            </w:r>
          </w:p>
        </w:tc>
        <w:tc>
          <w:tcPr>
            <w:tcW w:type="dxa" w:w="28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sz w:val="22"/>
                <w:szCs w:val="22"/>
              </w:rPr>
              <w:t xml:space="preserve">/views/:id/data</w:t>
            </w:r>
          </w:p>
        </w:tc>
        <w:tc>
          <w:tcPr>
            <w:tcW w:type="dxa" w:w="47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sz w:val="22"/>
                <w:szCs w:val="22"/>
              </w:rPr>
              <w:t xml:space="preserve">Execute the view’s underlying data source query with role-based parameters and view-level filters. Returns the full result set.</w:t>
            </w:r>
          </w:p>
        </w:tc>
      </w:tr>
    </w:tbl>
    <w:p>
      <w:pPr>
        <w:spacing w:after="160"/>
      </w:pPr>
    </w:p>
    <w:p>
      <w:pPr>
        <w:pStyle w:val="Heading2"/>
        <w:spacing w:after="160" w:before="280"/>
      </w:pPr>
      <w:r>
        <w:rPr>
          <w:rFonts w:ascii="Arial" w:cs="Arial" w:eastAsia="Arial" w:hAnsi="Arial"/>
          <w:b/>
          <w:bCs/>
          <w:color w:val="1F3864"/>
          <w:sz w:val="24"/>
          <w:szCs w:val="24"/>
        </w:rPr>
        <w:t xml:space="preserve">7.4 View Management Endpoints (Admin and Super Admin)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2800"/>
        <w:gridCol w:w="4760"/>
      </w:tblGrid>
      <w:tr>
        <w:trPr>
          <w:tblHeader/>
        </w:trPr>
        <w:tc>
          <w:tcPr>
            <w:tcW w:type="dxa" w:w="18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22"/>
                <w:szCs w:val="22"/>
              </w:rPr>
              <w:t xml:space="preserve">Method</w:t>
            </w:r>
          </w:p>
        </w:tc>
        <w:tc>
          <w:tcPr>
            <w:tcW w:type="dxa" w:w="28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22"/>
                <w:szCs w:val="22"/>
              </w:rPr>
              <w:t xml:space="preserve">Endpoint</w:t>
            </w:r>
          </w:p>
        </w:tc>
        <w:tc>
          <w:tcPr>
            <w:tcW w:type="dxa" w:w="476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22"/>
                <w:szCs w:val="22"/>
              </w:rPr>
              <w:t xml:space="preserve">Description</w:t>
            </w:r>
          </w:p>
        </w:tc>
      </w:tr>
      <w:tr>
        <w:tc>
          <w:tcPr>
            <w:tcW w:type="dxa" w:w="18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sz w:val="22"/>
                <w:szCs w:val="22"/>
              </w:rPr>
              <w:t xml:space="preserve">POST</w:t>
            </w:r>
          </w:p>
        </w:tc>
        <w:tc>
          <w:tcPr>
            <w:tcW w:type="dxa" w:w="28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sz w:val="22"/>
                <w:szCs w:val="22"/>
              </w:rPr>
              <w:t xml:space="preserve">/admin/views</w:t>
            </w:r>
          </w:p>
        </w:tc>
        <w:tc>
          <w:tcPr>
            <w:tcW w:type="dxa" w:w="47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sz w:val="22"/>
                <w:szCs w:val="22"/>
              </w:rPr>
              <w:t xml:space="preserve">Create a new view.</w:t>
            </w:r>
          </w:p>
        </w:tc>
      </w:tr>
      <w:tr>
        <w:tc>
          <w:tcPr>
            <w:tcW w:type="dxa" w:w="18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sz w:val="22"/>
                <w:szCs w:val="22"/>
              </w:rPr>
              <w:t xml:space="preserve">PUT</w:t>
            </w:r>
          </w:p>
        </w:tc>
        <w:tc>
          <w:tcPr>
            <w:tcW w:type="dxa" w:w="28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sz w:val="22"/>
                <w:szCs w:val="22"/>
              </w:rPr>
              <w:t xml:space="preserve">/admin/views/:id</w:t>
            </w:r>
          </w:p>
        </w:tc>
        <w:tc>
          <w:tcPr>
            <w:tcW w:type="dxa" w:w="47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sz w:val="22"/>
                <w:szCs w:val="22"/>
              </w:rPr>
              <w:t xml:space="preserve">Update an existing view.</w:t>
            </w:r>
          </w:p>
        </w:tc>
      </w:tr>
      <w:tr>
        <w:tc>
          <w:tcPr>
            <w:tcW w:type="dxa" w:w="18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sz w:val="22"/>
                <w:szCs w:val="22"/>
              </w:rPr>
              <w:t xml:space="preserve">PATCH</w:t>
            </w:r>
          </w:p>
        </w:tc>
        <w:tc>
          <w:tcPr>
            <w:tcW w:type="dxa" w:w="28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sz w:val="22"/>
                <w:szCs w:val="22"/>
              </w:rPr>
              <w:t xml:space="preserve">/admin/views/:id/status</w:t>
            </w:r>
          </w:p>
        </w:tc>
        <w:tc>
          <w:tcPr>
            <w:tcW w:type="dxa" w:w="47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sz w:val="22"/>
                <w:szCs w:val="22"/>
              </w:rPr>
              <w:t xml:space="preserve">Set a view to Active or Inactive.</w:t>
            </w:r>
          </w:p>
        </w:tc>
      </w:tr>
    </w:tbl>
    <w:p>
      <w:pPr>
        <w:spacing w:after="160"/>
      </w:pPr>
    </w:p>
    <w:p>
      <w:pPr>
        <w:pStyle w:val="Heading2"/>
        <w:spacing w:after="160" w:before="280"/>
      </w:pPr>
      <w:r>
        <w:rPr>
          <w:rFonts w:ascii="Arial" w:cs="Arial" w:eastAsia="Arial" w:hAnsi="Arial"/>
          <w:b/>
          <w:bCs/>
          <w:color w:val="1F3864"/>
          <w:sz w:val="24"/>
          <w:szCs w:val="24"/>
        </w:rPr>
        <w:t xml:space="preserve">7.5 Data Source Management Endpoints (Super Admin Only)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3200"/>
        <w:gridCol w:w="4360"/>
      </w:tblGrid>
      <w:tr>
        <w:trPr>
          <w:tblHeader/>
        </w:trPr>
        <w:tc>
          <w:tcPr>
            <w:tcW w:type="dxa" w:w="18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22"/>
                <w:szCs w:val="22"/>
              </w:rPr>
              <w:t xml:space="preserve">Method</w:t>
            </w:r>
          </w:p>
        </w:tc>
        <w:tc>
          <w:tcPr>
            <w:tcW w:type="dxa" w:w="3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22"/>
                <w:szCs w:val="22"/>
              </w:rPr>
              <w:t xml:space="preserve">Endpoint</w:t>
            </w:r>
          </w:p>
        </w:tc>
        <w:tc>
          <w:tcPr>
            <w:tcW w:type="dxa" w:w="436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22"/>
                <w:szCs w:val="22"/>
              </w:rPr>
              <w:t xml:space="preserve">Description</w:t>
            </w:r>
          </w:p>
        </w:tc>
      </w:tr>
      <w:tr>
        <w:tc>
          <w:tcPr>
            <w:tcW w:type="dxa" w:w="18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sz w:val="22"/>
                <w:szCs w:val="22"/>
              </w:rPr>
              <w:t xml:space="preserve">GET</w:t>
            </w:r>
          </w:p>
        </w:tc>
        <w:tc>
          <w:tcPr>
            <w:tcW w:type="dxa" w:w="3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sz w:val="22"/>
                <w:szCs w:val="22"/>
              </w:rPr>
              <w:t xml:space="preserve">/admin/datasources</w:t>
            </w:r>
          </w:p>
        </w:tc>
        <w:tc>
          <w:tcPr>
            <w:tcW w:type="dxa" w:w="43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sz w:val="22"/>
                <w:szCs w:val="22"/>
              </w:rPr>
              <w:t xml:space="preserve">List all data sources.</w:t>
            </w:r>
          </w:p>
        </w:tc>
      </w:tr>
      <w:tr>
        <w:tc>
          <w:tcPr>
            <w:tcW w:type="dxa" w:w="18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sz w:val="22"/>
                <w:szCs w:val="22"/>
              </w:rPr>
              <w:t xml:space="preserve">POST</w:t>
            </w:r>
          </w:p>
        </w:tc>
        <w:tc>
          <w:tcPr>
            <w:tcW w:type="dxa" w:w="3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sz w:val="22"/>
                <w:szCs w:val="22"/>
              </w:rPr>
              <w:t xml:space="preserve">/admin/datasources</w:t>
            </w:r>
          </w:p>
        </w:tc>
        <w:tc>
          <w:tcPr>
            <w:tcW w:type="dxa" w:w="43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sz w:val="22"/>
                <w:szCs w:val="22"/>
              </w:rPr>
              <w:t xml:space="preserve">Create a new data source.</w:t>
            </w:r>
          </w:p>
        </w:tc>
      </w:tr>
      <w:tr>
        <w:tc>
          <w:tcPr>
            <w:tcW w:type="dxa" w:w="18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sz w:val="22"/>
                <w:szCs w:val="22"/>
              </w:rPr>
              <w:t xml:space="preserve">PUT</w:t>
            </w:r>
          </w:p>
        </w:tc>
        <w:tc>
          <w:tcPr>
            <w:tcW w:type="dxa" w:w="3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sz w:val="22"/>
                <w:szCs w:val="22"/>
              </w:rPr>
              <w:t xml:space="preserve">/admin/datasources/:id</w:t>
            </w:r>
          </w:p>
        </w:tc>
        <w:tc>
          <w:tcPr>
            <w:tcW w:type="dxa" w:w="43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sz w:val="22"/>
                <w:szCs w:val="22"/>
              </w:rPr>
              <w:t xml:space="preserve">Update an existing data source.</w:t>
            </w:r>
          </w:p>
        </w:tc>
      </w:tr>
      <w:tr>
        <w:tc>
          <w:tcPr>
            <w:tcW w:type="dxa" w:w="18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sz w:val="22"/>
                <w:szCs w:val="22"/>
              </w:rPr>
              <w:t xml:space="preserve">PATCH</w:t>
            </w:r>
          </w:p>
        </w:tc>
        <w:tc>
          <w:tcPr>
            <w:tcW w:type="dxa" w:w="3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sz w:val="22"/>
                <w:szCs w:val="22"/>
              </w:rPr>
              <w:t xml:space="preserve">/admin/datasources/:id/status</w:t>
            </w:r>
          </w:p>
        </w:tc>
        <w:tc>
          <w:tcPr>
            <w:tcW w:type="dxa" w:w="43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sz w:val="22"/>
                <w:szCs w:val="22"/>
              </w:rPr>
              <w:t xml:space="preserve">Set a data source to Active or Inactive. Warns of dependent views.</w:t>
            </w:r>
          </w:p>
        </w:tc>
      </w:tr>
      <w:tr>
        <w:tc>
          <w:tcPr>
            <w:tcW w:type="dxa" w:w="18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sz w:val="22"/>
                <w:szCs w:val="22"/>
              </w:rPr>
              <w:t xml:space="preserve">POST</w:t>
            </w:r>
          </w:p>
        </w:tc>
        <w:tc>
          <w:tcPr>
            <w:tcW w:type="dxa" w:w="3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sz w:val="22"/>
                <w:szCs w:val="22"/>
              </w:rPr>
              <w:t xml:space="preserve">/admin/datasources/:id/preview</w:t>
            </w:r>
          </w:p>
        </w:tc>
        <w:tc>
          <w:tcPr>
            <w:tcW w:type="dxa" w:w="43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sz w:val="22"/>
                <w:szCs w:val="22"/>
              </w:rPr>
              <w:t xml:space="preserve">Execute the data source query with supplied test parameters. Returns a flat result set for preview.</w:t>
            </w:r>
          </w:p>
        </w:tc>
      </w:tr>
    </w:tbl>
    <w:p>
      <w:pPr>
        <w:spacing w:after="160"/>
      </w:pPr>
    </w:p>
    <w:p>
      <w:pPr>
        <w:pStyle w:val="Heading2"/>
        <w:spacing w:after="160" w:before="280"/>
      </w:pPr>
      <w:r>
        <w:rPr>
          <w:rFonts w:ascii="Arial" w:cs="Arial" w:eastAsia="Arial" w:hAnsi="Arial"/>
          <w:b/>
          <w:bCs/>
          <w:color w:val="1F3864"/>
          <w:sz w:val="24"/>
          <w:szCs w:val="24"/>
        </w:rPr>
        <w:t xml:space="preserve">7.6 Write Endpoints (All Roles)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3600"/>
        <w:gridCol w:w="3960"/>
      </w:tblGrid>
      <w:tr>
        <w:trPr>
          <w:tblHeader/>
        </w:trPr>
        <w:tc>
          <w:tcPr>
            <w:tcW w:type="dxa" w:w="18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22"/>
                <w:szCs w:val="22"/>
              </w:rPr>
              <w:t xml:space="preserve">Method</w:t>
            </w:r>
          </w:p>
        </w:tc>
        <w:tc>
          <w:tcPr>
            <w:tcW w:type="dxa" w:w="36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22"/>
                <w:szCs w:val="22"/>
              </w:rPr>
              <w:t xml:space="preserve">Endpoint</w:t>
            </w:r>
          </w:p>
        </w:tc>
        <w:tc>
          <w:tcPr>
            <w:tcW w:type="dxa" w:w="396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22"/>
                <w:szCs w:val="22"/>
              </w:rPr>
              <w:t xml:space="preserve">Description</w:t>
            </w:r>
          </w:p>
        </w:tc>
      </w:tr>
      <w:tr>
        <w:tc>
          <w:tcPr>
            <w:tcW w:type="dxa" w:w="18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sz w:val="22"/>
                <w:szCs w:val="22"/>
              </w:rPr>
              <w:t xml:space="preserve">PATCH</w:t>
            </w:r>
          </w:p>
        </w:tc>
        <w:tc>
          <w:tcPr>
            <w:tcW w:type="dxa" w:w="36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sz w:val="22"/>
                <w:szCs w:val="22"/>
              </w:rPr>
              <w:t xml:space="preserve">/records/:entityType/:id</w:t>
            </w:r>
          </w:p>
        </w:tc>
        <w:tc>
          <w:tcPr>
            <w:tcW w:type="dxa" w:w="3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sz w:val="22"/>
                <w:szCs w:val="22"/>
              </w:rPr>
              <w:t xml:space="preserve">Update one or more fields on a record. Proxied to the CRM API.</w:t>
            </w:r>
          </w:p>
        </w:tc>
      </w:tr>
      <w:tr>
        <w:tc>
          <w:tcPr>
            <w:tcW w:type="dxa" w:w="18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sz w:val="22"/>
                <w:szCs w:val="22"/>
              </w:rPr>
              <w:t xml:space="preserve">POST</w:t>
            </w:r>
          </w:p>
        </w:tc>
        <w:tc>
          <w:tcPr>
            <w:tcW w:type="dxa" w:w="36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sz w:val="22"/>
                <w:szCs w:val="22"/>
              </w:rPr>
              <w:t xml:space="preserve">/records/:entityType</w:t>
            </w:r>
          </w:p>
        </w:tc>
        <w:tc>
          <w:tcPr>
            <w:tcW w:type="dxa" w:w="3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sz w:val="22"/>
                <w:szCs w:val="22"/>
              </w:rPr>
              <w:t xml:space="preserve">Create a new record (for example, a session). Proxied to the CRM API.</w:t>
            </w:r>
          </w:p>
        </w:tc>
      </w:tr>
      <w:tr>
        <w:tc>
          <w:tcPr>
            <w:tcW w:type="dxa" w:w="18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sz w:val="22"/>
                <w:szCs w:val="22"/>
              </w:rPr>
              <w:t xml:space="preserve">POST</w:t>
            </w:r>
          </w:p>
        </w:tc>
        <w:tc>
          <w:tcPr>
            <w:tcW w:type="dxa" w:w="36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sz w:val="22"/>
                <w:szCs w:val="22"/>
              </w:rPr>
              <w:t xml:space="preserve">/records/:entityType/:id/relationships/:linkName</w:t>
            </w:r>
          </w:p>
        </w:tc>
        <w:tc>
          <w:tcPr>
            <w:tcW w:type="dxa" w:w="3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sz w:val="22"/>
                <w:szCs w:val="22"/>
              </w:rPr>
              <w:t xml:space="preserve">Add a relationship to a record. Proxied to the CRM API.</w:t>
            </w:r>
          </w:p>
        </w:tc>
      </w:tr>
    </w:tbl>
    <w:p>
      <w:pPr>
        <w:spacing w:after="160"/>
      </w:pPr>
    </w:p>
    <w:p>
      <w:pPr>
        <w:pStyle w:val="Heading2"/>
        <w:spacing w:after="160" w:before="280"/>
      </w:pPr>
      <w:r>
        <w:rPr>
          <w:rFonts w:ascii="Arial" w:cs="Arial" w:eastAsia="Arial" w:hAnsi="Arial"/>
          <w:b/>
          <w:bCs/>
          <w:color w:val="1F3864"/>
          <w:sz w:val="24"/>
          <w:szCs w:val="24"/>
        </w:rPr>
        <w:t xml:space="preserve">7.7 Google Workspace Endpoints (All Roles)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3200"/>
        <w:gridCol w:w="4360"/>
      </w:tblGrid>
      <w:tr>
        <w:trPr>
          <w:tblHeader/>
        </w:trPr>
        <w:tc>
          <w:tcPr>
            <w:tcW w:type="dxa" w:w="18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22"/>
                <w:szCs w:val="22"/>
              </w:rPr>
              <w:t xml:space="preserve">Method</w:t>
            </w:r>
          </w:p>
        </w:tc>
        <w:tc>
          <w:tcPr>
            <w:tcW w:type="dxa" w:w="3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22"/>
                <w:szCs w:val="22"/>
              </w:rPr>
              <w:t xml:space="preserve">Endpoint</w:t>
            </w:r>
          </w:p>
        </w:tc>
        <w:tc>
          <w:tcPr>
            <w:tcW w:type="dxa" w:w="436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22"/>
                <w:szCs w:val="22"/>
              </w:rPr>
              <w:t xml:space="preserve">Description</w:t>
            </w:r>
          </w:p>
        </w:tc>
      </w:tr>
      <w:tr>
        <w:tc>
          <w:tcPr>
            <w:tcW w:type="dxa" w:w="18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sz w:val="22"/>
                <w:szCs w:val="22"/>
              </w:rPr>
              <w:t xml:space="preserve">POST</w:t>
            </w:r>
          </w:p>
        </w:tc>
        <w:tc>
          <w:tcPr>
            <w:tcW w:type="dxa" w:w="3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sz w:val="22"/>
                <w:szCs w:val="22"/>
              </w:rPr>
              <w:t xml:space="preserve">/calendar/events</w:t>
            </w:r>
          </w:p>
        </w:tc>
        <w:tc>
          <w:tcPr>
            <w:tcW w:type="dxa" w:w="43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sz w:val="22"/>
                <w:szCs w:val="22"/>
              </w:rPr>
              <w:t xml:space="preserve">Create a Google Calendar event for the next session. Includes attendees from the engagement. Returns the event ID.</w:t>
            </w:r>
          </w:p>
        </w:tc>
      </w:tr>
      <w:tr>
        <w:tc>
          <w:tcPr>
            <w:tcW w:type="dxa" w:w="18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sz w:val="22"/>
                <w:szCs w:val="22"/>
              </w:rPr>
              <w:t xml:space="preserve">POST</w:t>
            </w:r>
          </w:p>
        </w:tc>
        <w:tc>
          <w:tcPr>
            <w:tcW w:type="dxa" w:w="3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sz w:val="22"/>
                <w:szCs w:val="22"/>
              </w:rPr>
              <w:t xml:space="preserve">/email/send</w:t>
            </w:r>
          </w:p>
        </w:tc>
        <w:tc>
          <w:tcPr>
            <w:tcW w:type="dxa" w:w="43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sz w:val="22"/>
                <w:szCs w:val="22"/>
              </w:rPr>
              <w:t xml:space="preserve">Send a session summary email via Gmail API. Accepts recipients, subject, and body content. Returns send confirmation.</w:t>
            </w:r>
          </w:p>
        </w:tc>
      </w:tr>
    </w:tbl>
    <w:p>
      <w:pPr>
        <w:spacing w:after="160"/>
      </w:pPr>
    </w:p>
    <w:p>
      <w:pPr>
        <w:pStyle w:val="Heading2"/>
        <w:spacing w:after="160" w:before="280"/>
      </w:pPr>
      <w:r>
        <w:rPr>
          <w:rFonts w:ascii="Arial" w:cs="Arial" w:eastAsia="Arial" w:hAnsi="Arial"/>
          <w:b/>
          <w:bCs/>
          <w:color w:val="1F3864"/>
          <w:sz w:val="24"/>
          <w:szCs w:val="24"/>
        </w:rPr>
        <w:t xml:space="preserve">7.8 Error Handling</w:t>
      </w:r>
    </w:p>
    <w:p>
      <w:pPr>
        <w:spacing w:after="160"/>
      </w:pPr>
      <w:r>
        <w:rPr>
          <w:rFonts w:ascii="Arial" w:cs="Arial" w:eastAsia="Arial" w:hAnsi="Arial"/>
          <w:color w:val="000000"/>
          <w:sz w:val="22"/>
          <w:szCs w:val="22"/>
        </w:rPr>
        <w:t xml:space="preserve">All API responses use standard HTTP status codes. Error responses include a JSON body with an error code and a human-readable message. CRM API errors encountered during write operations are translated into application-level error responses and returned to the frontend for display to the user. Google Workspace API errors (for example, calendar permission issues or email send failures) are similarly translated and surfaced to the user.</w:t>
      </w:r>
    </w:p>
    <w:p>
      <w:r>
        <w:br w:type="page"/>
      </w:r>
    </w:p>
    <w:p>
      <w:pPr>
        <w:pStyle w:val="Heading1"/>
        <w:spacing w:after="200" w:before="360"/>
      </w:pPr>
      <w:r>
        <w:rPr>
          <w:rFonts w:ascii="Arial" w:cs="Arial" w:eastAsia="Arial" w:hAnsi="Arial"/>
          <w:b/>
          <w:bCs/>
          <w:color w:val="1F3864"/>
          <w:sz w:val="28"/>
          <w:szCs w:val="28"/>
        </w:rPr>
        <w:t xml:space="preserve">8. Authentication and Security</w:t>
      </w:r>
    </w:p>
    <w:p>
      <w:pPr>
        <w:pStyle w:val="Heading2"/>
        <w:spacing w:after="160" w:before="280"/>
      </w:pPr>
      <w:r>
        <w:rPr>
          <w:rFonts w:ascii="Arial" w:cs="Arial" w:eastAsia="Arial" w:hAnsi="Arial"/>
          <w:b/>
          <w:bCs/>
          <w:color w:val="1F3864"/>
          <w:sz w:val="24"/>
          <w:szCs w:val="24"/>
        </w:rPr>
        <w:t xml:space="preserve">8.1 CRM Authentication Integration</w:t>
      </w:r>
    </w:p>
    <w:p>
      <w:pPr>
        <w:spacing w:after="160"/>
      </w:pPr>
      <w:r>
        <w:rPr>
          <w:rFonts w:ascii="Arial" w:cs="Arial" w:eastAsia="Arial" w:hAnsi="Arial"/>
          <w:color w:val="000000"/>
          <w:sz w:val="22"/>
          <w:szCs w:val="22"/>
        </w:rPr>
        <w:t xml:space="preserve">The application authenticates users against the CRM’s existing user system. Users log in with their CRM credentials. The application does not maintain its own user accounts or passwords. If a user’s CRM account is deactivated, they can no longer authenticate with the application.</w:t>
      </w:r>
    </w:p>
    <w:p>
      <w:pPr>
        <w:pStyle w:val="Heading2"/>
        <w:spacing w:after="160" w:before="280"/>
      </w:pPr>
      <w:r>
        <w:rPr>
          <w:rFonts w:ascii="Arial" w:cs="Arial" w:eastAsia="Arial" w:hAnsi="Arial"/>
          <w:b/>
          <w:bCs/>
          <w:color w:val="1F3864"/>
          <w:sz w:val="24"/>
          <w:szCs w:val="24"/>
        </w:rPr>
        <w:t xml:space="preserve">8.2 Token-Based Session Management</w:t>
      </w:r>
    </w:p>
    <w:p>
      <w:pPr>
        <w:spacing w:after="160"/>
      </w:pPr>
      <w:r>
        <w:rPr>
          <w:rFonts w:ascii="Arial" w:cs="Arial" w:eastAsia="Arial" w:hAnsi="Arial"/>
          <w:color w:val="000000"/>
          <w:sz w:val="22"/>
          <w:szCs w:val="22"/>
        </w:rPr>
        <w:t xml:space="preserve">Upon successful authentication, the backend issues a token (JWT or equivalent) to the frontend. The frontend includes this token in the header of every subsequent API request. The token contains or references the user’s identity and application role.</w:t>
      </w:r>
    </w:p>
    <w:p>
      <w:pPr>
        <w:spacing w:after="160"/>
      </w:pPr>
      <w:r>
        <w:rPr>
          <w:rFonts w:ascii="Arial" w:cs="Arial" w:eastAsia="Arial" w:hAnsi="Arial"/>
          <w:color w:val="000000"/>
          <w:sz w:val="22"/>
          <w:szCs w:val="22"/>
        </w:rPr>
        <w:t xml:space="preserve">Token lifecycle:</w:t>
      </w:r>
    </w:p>
    <w:p>
      <w:pPr>
        <w:pStyle w:val="ListParagraph"/>
        <w:numPr>
          <w:ilvl w:val="0"/>
          <w:numId w:val="2"/>
        </w:numPr>
        <w:spacing w:after="80"/>
      </w:pPr>
      <w:r>
        <w:rPr>
          <w:rFonts w:ascii="Arial" w:cs="Arial" w:eastAsia="Arial" w:hAnsi="Arial"/>
          <w:sz w:val="22"/>
          <w:szCs w:val="22"/>
        </w:rPr>
        <w:t xml:space="preserve">The token auto-refreshes with each API request, resetting the expiry window.</w:t>
      </w:r>
    </w:p>
    <w:p>
      <w:pPr>
        <w:pStyle w:val="ListParagraph"/>
        <w:numPr>
          <w:ilvl w:val="0"/>
          <w:numId w:val="2"/>
        </w:numPr>
        <w:spacing w:after="80"/>
      </w:pPr>
      <w:r>
        <w:rPr>
          <w:rFonts w:ascii="Arial" w:cs="Arial" w:eastAsia="Arial" w:hAnsi="Arial"/>
          <w:sz w:val="22"/>
          <w:szCs w:val="22"/>
        </w:rPr>
        <w:t xml:space="preserve">If the user makes no API request for a full calendar day, the token expires.</w:t>
      </w:r>
    </w:p>
    <w:p>
      <w:pPr>
        <w:pStyle w:val="ListParagraph"/>
        <w:numPr>
          <w:ilvl w:val="0"/>
          <w:numId w:val="2"/>
        </w:numPr>
        <w:spacing w:after="80"/>
      </w:pPr>
      <w:r>
        <w:rPr>
          <w:rFonts w:ascii="Arial" w:cs="Arial" w:eastAsia="Arial" w:hAnsi="Arial"/>
          <w:sz w:val="22"/>
          <w:szCs w:val="22"/>
        </w:rPr>
        <w:t xml:space="preserve">Upon token expiry, the user must re-authenticate.</w:t>
      </w:r>
    </w:p>
    <w:p>
      <w:pPr>
        <w:pStyle w:val="ListParagraph"/>
        <w:numPr>
          <w:ilvl w:val="0"/>
          <w:numId w:val="2"/>
        </w:numPr>
        <w:spacing w:after="80"/>
      </w:pPr>
      <w:r>
        <w:rPr>
          <w:rFonts w:ascii="Arial" w:cs="Arial" w:eastAsia="Arial" w:hAnsi="Arial"/>
          <w:sz w:val="22"/>
          <w:szCs w:val="22"/>
        </w:rPr>
        <w:t xml:space="preserve">The logout endpoint explicitly invalidates the token.</w:t>
      </w:r>
    </w:p>
    <w:p>
      <w:pPr>
        <w:pStyle w:val="Heading2"/>
        <w:spacing w:after="160" w:before="280"/>
      </w:pPr>
      <w:r>
        <w:rPr>
          <w:rFonts w:ascii="Arial" w:cs="Arial" w:eastAsia="Arial" w:hAnsi="Arial"/>
          <w:b/>
          <w:bCs/>
          <w:color w:val="1F3864"/>
          <w:sz w:val="24"/>
          <w:szCs w:val="24"/>
        </w:rPr>
        <w:t xml:space="preserve">8.3 Role-Based API Authorization</w:t>
      </w:r>
    </w:p>
    <w:p>
      <w:pPr>
        <w:spacing w:after="160"/>
      </w:pPr>
      <w:r>
        <w:rPr>
          <w:rFonts w:ascii="Arial" w:cs="Arial" w:eastAsia="Arial" w:hAnsi="Arial"/>
          <w:color w:val="000000"/>
          <w:sz w:val="22"/>
          <w:szCs w:val="22"/>
        </w:rPr>
        <w:t xml:space="preserve">The backend checks the authenticated user’s role on every API request before processing it. Requests to endpoints that exceed the user’s role are rejected with an authorization error. The role hierarchy:</w:t>
      </w:r>
    </w:p>
    <w:p>
      <w:pPr>
        <w:pStyle w:val="ListParagraph"/>
        <w:numPr>
          <w:ilvl w:val="0"/>
          <w:numId w:val="2"/>
        </w:numPr>
        <w:spacing w:after="80"/>
      </w:pPr>
      <w:r>
        <w:rPr>
          <w:rFonts w:ascii="Arial" w:cs="Arial" w:eastAsia="Arial" w:hAnsi="Arial"/>
          <w:sz w:val="22"/>
          <w:szCs w:val="22"/>
        </w:rPr>
        <w:t xml:space="preserve">Mentor: access to view endpoints, view data endpoints, write endpoints, Google Workspace endpoints, and own-user profile.</w:t>
      </w:r>
    </w:p>
    <w:p>
      <w:pPr>
        <w:pStyle w:val="ListParagraph"/>
        <w:numPr>
          <w:ilvl w:val="0"/>
          <w:numId w:val="2"/>
        </w:numPr>
        <w:spacing w:after="80"/>
      </w:pPr>
      <w:r>
        <w:rPr>
          <w:rFonts w:ascii="Arial" w:cs="Arial" w:eastAsia="Arial" w:hAnsi="Arial"/>
          <w:sz w:val="22"/>
          <w:szCs w:val="22"/>
        </w:rPr>
        <w:t xml:space="preserve">Admin: all Mentor endpoints plus view management endpoints.</w:t>
      </w:r>
    </w:p>
    <w:p>
      <w:pPr>
        <w:pStyle w:val="ListParagraph"/>
        <w:numPr>
          <w:ilvl w:val="0"/>
          <w:numId w:val="2"/>
        </w:numPr>
        <w:spacing w:after="80"/>
      </w:pPr>
      <w:r>
        <w:rPr>
          <w:rFonts w:ascii="Arial" w:cs="Arial" w:eastAsia="Arial" w:hAnsi="Arial"/>
          <w:sz w:val="22"/>
          <w:szCs w:val="22"/>
        </w:rPr>
        <w:t xml:space="preserve">Super Admin: all Admin endpoints plus data source management endpoints and role-mapping configuration.</w:t>
      </w:r>
    </w:p>
    <w:p>
      <w:pPr>
        <w:pStyle w:val="Heading2"/>
        <w:spacing w:after="160" w:before="280"/>
      </w:pPr>
      <w:r>
        <w:rPr>
          <w:rFonts w:ascii="Arial" w:cs="Arial" w:eastAsia="Arial" w:hAnsi="Arial"/>
          <w:b/>
          <w:bCs/>
          <w:color w:val="1F3864"/>
          <w:sz w:val="24"/>
          <w:szCs w:val="24"/>
        </w:rPr>
        <w:t xml:space="preserve">8.4 Data-Level Security</w:t>
      </w:r>
    </w:p>
    <w:p>
      <w:pPr>
        <w:spacing w:after="160"/>
      </w:pPr>
      <w:r>
        <w:rPr>
          <w:rFonts w:ascii="Arial" w:cs="Arial" w:eastAsia="Arial" w:hAnsi="Arial"/>
          <w:color w:val="000000"/>
          <w:sz w:val="22"/>
          <w:szCs w:val="22"/>
        </w:rPr>
        <w:t xml:space="preserve">Role-based data filtering is enforced at the SQL query level via parameter injection, as described in Section 3.2 (Named Parameters) and Section 6.1 (Read Path). This ensures that data visibility constraints cannot be bypassed by direct API calls, since the filtering is applied before results are returned from the database.</w:t>
      </w:r>
    </w:p>
    <w:p>
      <w:r>
        <w:br w:type="page"/>
      </w:r>
    </w:p>
    <w:p>
      <w:pPr>
        <w:pStyle w:val="Heading1"/>
        <w:spacing w:after="200" w:before="360"/>
      </w:pPr>
      <w:r>
        <w:rPr>
          <w:rFonts w:ascii="Arial" w:cs="Arial" w:eastAsia="Arial" w:hAnsi="Arial"/>
          <w:b/>
          <w:bCs/>
          <w:color w:val="1F3864"/>
          <w:sz w:val="28"/>
          <w:szCs w:val="28"/>
        </w:rPr>
        <w:t xml:space="preserve">9. Google Workspace Integration</w:t>
      </w:r>
    </w:p>
    <w:p>
      <w:pPr>
        <w:pStyle w:val="Heading2"/>
        <w:spacing w:after="160" w:before="280"/>
      </w:pPr>
      <w:r>
        <w:rPr>
          <w:rFonts w:ascii="Arial" w:cs="Arial" w:eastAsia="Arial" w:hAnsi="Arial"/>
          <w:b/>
          <w:bCs/>
          <w:color w:val="1F3864"/>
          <w:sz w:val="24"/>
          <w:szCs w:val="24"/>
        </w:rPr>
        <w:t xml:space="preserve">9.1 Overview</w:t>
      </w:r>
    </w:p>
    <w:p>
      <w:pPr>
        <w:spacing w:after="160"/>
      </w:pPr>
      <w:r>
        <w:rPr>
          <w:rFonts w:ascii="Arial" w:cs="Arial" w:eastAsia="Arial" w:hAnsi="Arial"/>
          <w:color w:val="000000"/>
          <w:sz w:val="22"/>
          <w:szCs w:val="22"/>
        </w:rPr>
        <w:t xml:space="preserve">The application integrates with Google Workspace to provide calendar event creation and email sending capabilities. Both services are accessed through Google APIs using OAuth 2.0 authentication, allowing the application to act on behalf of the authenticated user.</w:t>
      </w:r>
    </w:p>
    <w:p>
      <w:pPr>
        <w:pStyle w:val="Heading2"/>
        <w:spacing w:after="160" w:before="280"/>
      </w:pPr>
      <w:r>
        <w:rPr>
          <w:rFonts w:ascii="Arial" w:cs="Arial" w:eastAsia="Arial" w:hAnsi="Arial"/>
          <w:b/>
          <w:bCs/>
          <w:color w:val="1F3864"/>
          <w:sz w:val="24"/>
          <w:szCs w:val="24"/>
        </w:rPr>
        <w:t xml:space="preserve">9.2 OAuth 2.0 Authorization</w:t>
      </w:r>
    </w:p>
    <w:p>
      <w:pPr>
        <w:spacing w:after="160"/>
      </w:pPr>
      <w:r>
        <w:rPr>
          <w:rFonts w:ascii="Arial" w:cs="Arial" w:eastAsia="Arial" w:hAnsi="Arial"/>
          <w:color w:val="000000"/>
          <w:sz w:val="22"/>
          <w:szCs w:val="22"/>
        </w:rPr>
        <w:t xml:space="preserve">On first login (or when Google authorization has expired or been revoked), the application prompts the user to authorize access to their Google account. The OAuth consent flow requests the following scopes:</w:t>
      </w:r>
    </w:p>
    <w:p>
      <w:pPr>
        <w:pStyle w:val="ListParagraph"/>
        <w:numPr>
          <w:ilvl w:val="0"/>
          <w:numId w:val="2"/>
        </w:numPr>
        <w:spacing w:after="80"/>
      </w:pPr>
      <w:r>
        <w:rPr>
          <w:rFonts w:ascii="Arial" w:cs="Arial" w:eastAsia="Arial" w:hAnsi="Arial"/>
          <w:sz w:val="22"/>
          <w:szCs w:val="22"/>
        </w:rPr>
        <w:t xml:space="preserve">Google Calendar: permission to create events on the user’s calendar.</w:t>
      </w:r>
    </w:p>
    <w:p>
      <w:pPr>
        <w:pStyle w:val="ListParagraph"/>
        <w:numPr>
          <w:ilvl w:val="0"/>
          <w:numId w:val="2"/>
        </w:numPr>
        <w:spacing w:after="80"/>
      </w:pPr>
      <w:r>
        <w:rPr>
          <w:rFonts w:ascii="Arial" w:cs="Arial" w:eastAsia="Arial" w:hAnsi="Arial"/>
          <w:sz w:val="22"/>
          <w:szCs w:val="22"/>
        </w:rPr>
        <w:t xml:space="preserve">Gmail: permission to send email on the user’s behalf.</w:t>
      </w:r>
    </w:p>
    <w:p>
      <w:pPr>
        <w:spacing w:after="160"/>
      </w:pPr>
      <w:r>
        <w:rPr>
          <w:rFonts w:ascii="Arial" w:cs="Arial" w:eastAsia="Arial" w:hAnsi="Arial"/>
          <w:color w:val="000000"/>
          <w:sz w:val="22"/>
          <w:szCs w:val="22"/>
        </w:rPr>
        <w:t xml:space="preserve">The user’s OAuth tokens (access token and refresh token) are stored securely by the backend in the application’s dedicated database tables. Tokens are refreshed automatically when they expire. If a refresh fails (for example, the user revokes access), the application prompts the user to re-authorize.</w:t>
      </w:r>
    </w:p>
    <w:p>
      <w:pPr>
        <w:pStyle w:val="Heading2"/>
        <w:spacing w:after="160" w:before="280"/>
      </w:pPr>
      <w:r>
        <w:rPr>
          <w:rFonts w:ascii="Arial" w:cs="Arial" w:eastAsia="Arial" w:hAnsi="Arial"/>
          <w:b/>
          <w:bCs/>
          <w:color w:val="1F3864"/>
          <w:sz w:val="24"/>
          <w:szCs w:val="24"/>
        </w:rPr>
        <w:t xml:space="preserve">9.3 Google Calendar Integration</w:t>
      </w:r>
    </w:p>
    <w:p>
      <w:pPr>
        <w:spacing w:after="160"/>
      </w:pPr>
      <w:r>
        <w:rPr>
          <w:rFonts w:ascii="Arial" w:cs="Arial" w:eastAsia="Arial" w:hAnsi="Arial"/>
          <w:color w:val="000000"/>
          <w:sz w:val="22"/>
          <w:szCs w:val="22"/>
        </w:rPr>
        <w:t xml:space="preserve">When a mentor enters a next session date and time in the session form, the application creates a Google Calendar event with the following properties:</w:t>
      </w:r>
    </w:p>
    <w:p>
      <w:pPr>
        <w:pStyle w:val="ListParagraph"/>
        <w:numPr>
          <w:ilvl w:val="0"/>
          <w:numId w:val="2"/>
        </w:numPr>
        <w:spacing w:after="80"/>
      </w:pPr>
      <w:r>
        <w:rPr>
          <w:rFonts w:ascii="Arial" w:cs="Arial" w:eastAsia="Arial" w:hAnsi="Arial"/>
          <w:sz w:val="22"/>
          <w:szCs w:val="22"/>
        </w:rPr>
        <w:t xml:space="preserve">The event is created on the mentor’s Google Calendar.</w:t>
      </w:r>
    </w:p>
    <w:p>
      <w:pPr>
        <w:pStyle w:val="ListParagraph"/>
        <w:numPr>
          <w:ilvl w:val="0"/>
          <w:numId w:val="2"/>
        </w:numPr>
        <w:spacing w:after="80"/>
      </w:pPr>
      <w:r>
        <w:rPr>
          <w:rFonts w:ascii="Arial" w:cs="Arial" w:eastAsia="Arial" w:hAnsi="Arial"/>
          <w:sz w:val="22"/>
          <w:szCs w:val="22"/>
        </w:rPr>
        <w:t xml:space="preserve">The event title, date, time, and duration are derived from the session form data.</w:t>
      </w:r>
    </w:p>
    <w:p>
      <w:pPr>
        <w:pStyle w:val="ListParagraph"/>
        <w:numPr>
          <w:ilvl w:val="0"/>
          <w:numId w:val="2"/>
        </w:numPr>
        <w:spacing w:after="80"/>
      </w:pPr>
      <w:r>
        <w:rPr>
          <w:rFonts w:ascii="Arial" w:cs="Arial" w:eastAsia="Arial" w:hAnsi="Arial"/>
          <w:sz w:val="22"/>
          <w:szCs w:val="22"/>
        </w:rPr>
        <w:t xml:space="preserve">All engagement contacts and co-mentors/SMEs are added as event attendees.</w:t>
      </w:r>
    </w:p>
    <w:p>
      <w:pPr>
        <w:pStyle w:val="ListParagraph"/>
        <w:numPr>
          <w:ilvl w:val="0"/>
          <w:numId w:val="2"/>
        </w:numPr>
        <w:spacing w:after="80"/>
      </w:pPr>
      <w:r>
        <w:rPr>
          <w:rFonts w:ascii="Arial" w:cs="Arial" w:eastAsia="Arial" w:hAnsi="Arial"/>
          <w:sz w:val="22"/>
          <w:szCs w:val="22"/>
        </w:rPr>
        <w:t xml:space="preserve">Google Calendar automatically sends invite emails to all attendees.</w:t>
      </w:r>
    </w:p>
    <w:p>
      <w:pPr>
        <w:spacing w:after="160"/>
      </w:pPr>
      <w:r>
        <w:rPr>
          <w:rFonts w:ascii="Arial" w:cs="Arial" w:eastAsia="Arial" w:hAnsi="Arial"/>
          <w:color w:val="000000"/>
          <w:sz w:val="22"/>
          <w:szCs w:val="22"/>
        </w:rPr>
        <w:t xml:space="preserve">The calendar event ID is stored on the session record in the CRM for reference.</w:t>
      </w:r>
    </w:p>
    <w:p>
      <w:pPr>
        <w:pStyle w:val="Heading2"/>
        <w:spacing w:after="160" w:before="280"/>
      </w:pPr>
      <w:r>
        <w:rPr>
          <w:rFonts w:ascii="Arial" w:cs="Arial" w:eastAsia="Arial" w:hAnsi="Arial"/>
          <w:b/>
          <w:bCs/>
          <w:color w:val="1F3864"/>
          <w:sz w:val="24"/>
          <w:szCs w:val="24"/>
        </w:rPr>
        <w:t xml:space="preserve">9.4 Gmail Integration</w:t>
      </w:r>
    </w:p>
    <w:p>
      <w:pPr>
        <w:spacing w:after="160"/>
      </w:pPr>
      <w:r>
        <w:rPr>
          <w:rFonts w:ascii="Arial" w:cs="Arial" w:eastAsia="Arial" w:hAnsi="Arial"/>
          <w:color w:val="000000"/>
          <w:sz w:val="22"/>
          <w:szCs w:val="22"/>
        </w:rPr>
        <w:t xml:space="preserve">When a mentor completes a session and chooses to send a summary email, the application sends the email via the Gmail API with the following behavior:</w:t>
      </w:r>
    </w:p>
    <w:p>
      <w:pPr>
        <w:pStyle w:val="ListParagraph"/>
        <w:numPr>
          <w:ilvl w:val="0"/>
          <w:numId w:val="2"/>
        </w:numPr>
        <w:spacing w:after="80"/>
      </w:pPr>
      <w:r>
        <w:rPr>
          <w:rFonts w:ascii="Arial" w:cs="Arial" w:eastAsia="Arial" w:hAnsi="Arial"/>
          <w:sz w:val="22"/>
          <w:szCs w:val="22"/>
        </w:rPr>
        <w:t xml:space="preserve">The email is sent from the mentor’s Gmail account (their address appears as the sender).</w:t>
      </w:r>
    </w:p>
    <w:p>
      <w:pPr>
        <w:pStyle w:val="ListParagraph"/>
        <w:numPr>
          <w:ilvl w:val="0"/>
          <w:numId w:val="2"/>
        </w:numPr>
        <w:spacing w:after="80"/>
      </w:pPr>
      <w:r>
        <w:rPr>
          <w:rFonts w:ascii="Arial" w:cs="Arial" w:eastAsia="Arial" w:hAnsi="Arial"/>
          <w:sz w:val="22"/>
          <w:szCs w:val="22"/>
        </w:rPr>
        <w:t xml:space="preserve">The email body is pre-populated with the session notes and next steps from the session form.</w:t>
      </w:r>
    </w:p>
    <w:p>
      <w:pPr>
        <w:pStyle w:val="ListParagraph"/>
        <w:numPr>
          <w:ilvl w:val="0"/>
          <w:numId w:val="2"/>
        </w:numPr>
        <w:spacing w:after="80"/>
      </w:pPr>
      <w:r>
        <w:rPr>
          <w:rFonts w:ascii="Arial" w:cs="Arial" w:eastAsia="Arial" w:hAnsi="Arial"/>
          <w:sz w:val="22"/>
          <w:szCs w:val="22"/>
        </w:rPr>
        <w:t xml:space="preserve">The mentor can edit the email content and adjust the recipient list before sending.</w:t>
      </w:r>
    </w:p>
    <w:p>
      <w:pPr>
        <w:pStyle w:val="ListParagraph"/>
        <w:numPr>
          <w:ilvl w:val="0"/>
          <w:numId w:val="2"/>
        </w:numPr>
        <w:spacing w:after="80"/>
      </w:pPr>
      <w:r>
        <w:rPr>
          <w:rFonts w:ascii="Arial" w:cs="Arial" w:eastAsia="Arial" w:hAnsi="Arial"/>
          <w:sz w:val="22"/>
          <w:szCs w:val="22"/>
        </w:rPr>
        <w:t xml:space="preserve">The sent email appears in the mentor’s Gmail Sent folder.</w:t>
      </w:r>
    </w:p>
    <w:p>
      <w:r>
        <w:br w:type="page"/>
      </w:r>
    </w:p>
    <w:p>
      <w:pPr>
        <w:pStyle w:val="Heading1"/>
        <w:spacing w:after="200" w:before="360"/>
      </w:pPr>
      <w:r>
        <w:rPr>
          <w:rFonts w:ascii="Arial" w:cs="Arial" w:eastAsia="Arial" w:hAnsi="Arial"/>
          <w:b/>
          <w:bCs/>
          <w:color w:val="1F3864"/>
          <w:sz w:val="28"/>
          <w:szCs w:val="28"/>
        </w:rPr>
        <w:t xml:space="preserve">10. Deployment and Infrastructure</w:t>
      </w:r>
    </w:p>
    <w:p>
      <w:pPr>
        <w:pStyle w:val="Heading2"/>
        <w:spacing w:after="160" w:before="280"/>
      </w:pPr>
      <w:r>
        <w:rPr>
          <w:rFonts w:ascii="Arial" w:cs="Arial" w:eastAsia="Arial" w:hAnsi="Arial"/>
          <w:b/>
          <w:bCs/>
          <w:color w:val="1F3864"/>
          <w:sz w:val="24"/>
          <w:szCs w:val="24"/>
        </w:rPr>
        <w:t xml:space="preserve">10.1 Deployment Model</w:t>
      </w:r>
    </w:p>
    <w:p>
      <w:pPr>
        <w:spacing w:after="160"/>
      </w:pPr>
      <w:r>
        <w:rPr>
          <w:rFonts w:ascii="Arial" w:cs="Arial" w:eastAsia="Arial" w:hAnsi="Arial"/>
          <w:color w:val="000000"/>
          <w:sz w:val="22"/>
          <w:szCs w:val="22"/>
        </w:rPr>
        <w:t xml:space="preserve">The application is deployed as a Docker container on the same server as the CRM, running alongside the CRM’s Docker containers. The application container joins the CRM’s Docker network, providing direct network access to the CRM database and CRM API without exposing either to the public internet.</w:t>
      </w:r>
    </w:p>
    <w:p>
      <w:pPr>
        <w:pStyle w:val="Heading2"/>
        <w:spacing w:after="160" w:before="280"/>
      </w:pPr>
      <w:r>
        <w:rPr>
          <w:rFonts w:ascii="Arial" w:cs="Arial" w:eastAsia="Arial" w:hAnsi="Arial"/>
          <w:b/>
          <w:bCs/>
          <w:color w:val="1F3864"/>
          <w:sz w:val="24"/>
          <w:szCs w:val="24"/>
        </w:rPr>
        <w:t xml:space="preserve">10.2 Network Configuration</w:t>
      </w:r>
    </w:p>
    <w:p>
      <w:pPr>
        <w:spacing w:after="160"/>
      </w:pPr>
      <w:r>
        <w:rPr>
          <w:rFonts w:ascii="Arial" w:cs="Arial" w:eastAsia="Arial" w:hAnsi="Arial"/>
          <w:color w:val="000000"/>
          <w:sz w:val="22"/>
          <w:szCs w:val="22"/>
        </w:rPr>
        <w:t xml:space="preserve">The application is served on its own subdomain with its own SSL certificate. Users access the application via the subdomain URL in a standard web browser. The CRM database and CRM API are accessible to the application container via the Docker internal network and are not exposed on the subdomain.</w:t>
      </w:r>
    </w:p>
    <w:p>
      <w:pPr>
        <w:pStyle w:val="Heading2"/>
        <w:spacing w:after="160" w:before="280"/>
      </w:pPr>
      <w:r>
        <w:rPr>
          <w:rFonts w:ascii="Arial" w:cs="Arial" w:eastAsia="Arial" w:hAnsi="Arial"/>
          <w:b/>
          <w:bCs/>
          <w:color w:val="1F3864"/>
          <w:sz w:val="24"/>
          <w:szCs w:val="24"/>
        </w:rPr>
        <w:t xml:space="preserve">10.3 Dedicated Database Tables</w:t>
      </w:r>
    </w:p>
    <w:p>
      <w:pPr>
        <w:spacing w:after="160"/>
      </w:pPr>
      <w:r>
        <w:rPr>
          <w:rFonts w:ascii="Arial" w:cs="Arial" w:eastAsia="Arial" w:hAnsi="Arial"/>
          <w:color w:val="000000"/>
          <w:sz w:val="22"/>
          <w:szCs w:val="22"/>
        </w:rPr>
        <w:t xml:space="preserve">The application stores its configuration data (data source definitions, view definitions, role mappings, user preferences such as last-selected view, and Google OAuth tokens) in dedicated tables within the CRM’s database. These tables use a distinct table prefix to avoid collisions with CRM schema. The application never modifies CRM-owned tables directly.</w:t>
      </w:r>
    </w:p>
    <w:p>
      <w:pPr>
        <w:pStyle w:val="Heading2"/>
        <w:spacing w:after="160" w:before="280"/>
      </w:pPr>
      <w:r>
        <w:rPr>
          <w:rFonts w:ascii="Arial" w:cs="Arial" w:eastAsia="Arial" w:hAnsi="Arial"/>
          <w:b/>
          <w:bCs/>
          <w:color w:val="1F3864"/>
          <w:sz w:val="24"/>
          <w:szCs w:val="24"/>
        </w:rPr>
        <w:t xml:space="preserve">10.4 Deployment Management</w:t>
      </w:r>
    </w:p>
    <w:p>
      <w:pPr>
        <w:spacing w:after="160"/>
      </w:pPr>
      <w:r>
        <w:rPr>
          <w:rFonts w:ascii="Arial" w:cs="Arial" w:eastAsia="Arial" w:hAnsi="Arial"/>
          <w:color w:val="000000"/>
          <w:sz w:val="22"/>
          <w:szCs w:val="22"/>
        </w:rPr>
        <w:t xml:space="preserve">Deployment, updates, and operational management of the application are handled by CRM Builder as part of its existing CRM deployment pipeline. This includes initial deployment, configuration, and subsequent updates.</w:t>
      </w:r>
    </w:p>
    <w:p>
      <w:r>
        <w:br w:type="page"/>
      </w:r>
    </w:p>
    <w:p>
      <w:pPr>
        <w:pStyle w:val="Heading1"/>
        <w:spacing w:after="200" w:before="360"/>
      </w:pPr>
      <w:r>
        <w:rPr>
          <w:rFonts w:ascii="Arial" w:cs="Arial" w:eastAsia="Arial" w:hAnsi="Arial"/>
          <w:b/>
          <w:bCs/>
          <w:color w:val="1F3864"/>
          <w:sz w:val="28"/>
          <w:szCs w:val="28"/>
        </w:rPr>
        <w:t xml:space="preserve">11. Initial Implementation — CBM Proof of Concept</w:t>
      </w:r>
    </w:p>
    <w:p>
      <w:pPr>
        <w:pStyle w:val="Heading2"/>
        <w:spacing w:after="160" w:before="280"/>
      </w:pPr>
      <w:r>
        <w:rPr>
          <w:rFonts w:ascii="Arial" w:cs="Arial" w:eastAsia="Arial" w:hAnsi="Arial"/>
          <w:b/>
          <w:bCs/>
          <w:color w:val="1F3864"/>
          <w:sz w:val="24"/>
          <w:szCs w:val="24"/>
        </w:rPr>
        <w:t xml:space="preserve">11.1 Overview</w:t>
      </w:r>
    </w:p>
    <w:p>
      <w:pPr>
        <w:spacing w:after="160"/>
      </w:pPr>
      <w:r>
        <w:rPr>
          <w:rFonts w:ascii="Arial" w:cs="Arial" w:eastAsia="Arial" w:hAnsi="Arial"/>
          <w:color w:val="000000"/>
          <w:sz w:val="22"/>
          <w:szCs w:val="22"/>
        </w:rPr>
        <w:t xml:space="preserve">The initial proof of concept implements one data source, one view, and the complete engagement/session workflow for the Cleveland Business Mentors (CBM) program. This scope is sufficient to validate the application’s core architecture and provide immediate value to CBM volunteer mentors.</w:t>
      </w:r>
    </w:p>
    <w:p>
      <w:pPr>
        <w:pStyle w:val="Heading2"/>
        <w:spacing w:after="160" w:before="280"/>
      </w:pPr>
      <w:r>
        <w:rPr>
          <w:rFonts w:ascii="Arial" w:cs="Arial" w:eastAsia="Arial" w:hAnsi="Arial"/>
          <w:b/>
          <w:bCs/>
          <w:color w:val="1F3864"/>
          <w:sz w:val="24"/>
          <w:szCs w:val="24"/>
        </w:rPr>
        <w:t xml:space="preserve">11.2 Data Source: Engagement Summary</w:t>
      </w:r>
    </w:p>
    <w:p>
      <w:pPr>
        <w:spacing w:after="160"/>
      </w:pPr>
      <w:r>
        <w:rPr>
          <w:rFonts w:ascii="Arial" w:cs="Arial" w:eastAsia="Arial" w:hAnsi="Arial"/>
          <w:color w:val="000000"/>
          <w:sz w:val="22"/>
          <w:szCs w:val="22"/>
        </w:rPr>
        <w:t xml:space="preserve">A single data source named “Engagement Summary” provides the foundation for the proof-of-concept view. The data source query joins across the following CRM entities:</w:t>
      </w:r>
    </w:p>
    <w:p>
      <w:pPr>
        <w:pStyle w:val="ListParagraph"/>
        <w:numPr>
          <w:ilvl w:val="0"/>
          <w:numId w:val="2"/>
        </w:numPr>
        <w:spacing w:after="80"/>
      </w:pPr>
      <w:r>
        <w:rPr>
          <w:rFonts w:ascii="Arial" w:cs="Arial" w:eastAsia="Arial" w:hAnsi="Arial"/>
          <w:sz w:val="22"/>
          <w:szCs w:val="22"/>
        </w:rPr>
        <w:t xml:space="preserve">Contact (client and mentor records)</w:t>
      </w:r>
    </w:p>
    <w:p>
      <w:pPr>
        <w:pStyle w:val="ListParagraph"/>
        <w:numPr>
          <w:ilvl w:val="0"/>
          <w:numId w:val="2"/>
        </w:numPr>
        <w:spacing w:after="80"/>
      </w:pPr>
      <w:r>
        <w:rPr>
          <w:rFonts w:ascii="Arial" w:cs="Arial" w:eastAsia="Arial" w:hAnsi="Arial"/>
          <w:sz w:val="22"/>
          <w:szCs w:val="22"/>
        </w:rPr>
        <w:t xml:space="preserve">Account (company/organization)</w:t>
      </w:r>
    </w:p>
    <w:p>
      <w:pPr>
        <w:pStyle w:val="ListParagraph"/>
        <w:numPr>
          <w:ilvl w:val="0"/>
          <w:numId w:val="2"/>
        </w:numPr>
        <w:spacing w:after="80"/>
      </w:pPr>
      <w:r>
        <w:rPr>
          <w:rFonts w:ascii="Arial" w:cs="Arial" w:eastAsia="Arial" w:hAnsi="Arial"/>
          <w:sz w:val="22"/>
          <w:szCs w:val="22"/>
        </w:rPr>
        <w:t xml:space="preserve">Engagement</w:t>
      </w:r>
    </w:p>
    <w:p>
      <w:pPr>
        <w:pStyle w:val="ListParagraph"/>
        <w:numPr>
          <w:ilvl w:val="0"/>
          <w:numId w:val="2"/>
        </w:numPr>
        <w:spacing w:after="80"/>
      </w:pPr>
      <w:r>
        <w:rPr>
          <w:rFonts w:ascii="Arial" w:cs="Arial" w:eastAsia="Arial" w:hAnsi="Arial"/>
          <w:sz w:val="22"/>
          <w:szCs w:val="22"/>
        </w:rPr>
        <w:t xml:space="preserve">Session</w:t>
      </w:r>
    </w:p>
    <w:p>
      <w:pPr>
        <w:spacing w:after="160"/>
      </w:pPr>
      <w:r>
        <w:rPr>
          <w:rFonts w:ascii="Arial" w:cs="Arial" w:eastAsia="Arial" w:hAnsi="Arial"/>
          <w:color w:val="000000"/>
          <w:sz w:val="22"/>
          <w:szCs w:val="22"/>
        </w:rPr>
        <w:t xml:space="preserve">The query returns a flat result set that includes fields from all four entities. The hierarchy definition organizes results by engagement as the top level, with sessions as the child level.</w:t>
      </w:r>
    </w:p>
    <w:p>
      <w:pPr>
        <w:spacing w:after="160"/>
      </w:pPr>
      <w:r>
        <w:rPr>
          <w:rFonts w:ascii="Arial" w:cs="Arial" w:eastAsia="Arial" w:hAnsi="Arial"/>
          <w:color w:val="000000"/>
          <w:sz w:val="22"/>
          <w:szCs w:val="22"/>
        </w:rPr>
        <w:t xml:space="preserve">Named parameters include the current user’s ID for mentor-based filtering.</w:t>
      </w:r>
    </w:p>
    <w:p>
      <w:pPr>
        <w:pStyle w:val="Heading2"/>
        <w:spacing w:after="160" w:before="280"/>
      </w:pPr>
      <w:r>
        <w:rPr>
          <w:rFonts w:ascii="Arial" w:cs="Arial" w:eastAsia="Arial" w:hAnsi="Arial"/>
          <w:b/>
          <w:bCs/>
          <w:color w:val="1F3864"/>
          <w:sz w:val="24"/>
          <w:szCs w:val="24"/>
        </w:rPr>
        <w:t xml:space="preserve">11.3 View: My Active Engagements</w:t>
      </w:r>
    </w:p>
    <w:p>
      <w:pPr>
        <w:spacing w:after="160"/>
      </w:pPr>
      <w:r>
        <w:rPr>
          <w:rFonts w:ascii="Arial" w:cs="Arial" w:eastAsia="Arial" w:hAnsi="Arial"/>
          <w:color w:val="000000"/>
          <w:sz w:val="22"/>
          <w:szCs w:val="22"/>
        </w:rPr>
        <w:t xml:space="preserve">A single view named “My Active Engagements” is built on the Engagement Summary data source. The view displays the following columns: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rPr>
          <w:tblHeader/>
        </w:trPr>
        <w:tc>
          <w:tcPr>
            <w:tcW w:type="dxa" w:w="28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22"/>
                <w:szCs w:val="22"/>
              </w:rPr>
              <w:t xml:space="preserve">Column</w:t>
            </w:r>
          </w:p>
        </w:tc>
        <w:tc>
          <w:tcPr>
            <w:tcW w:type="dxa" w:w="656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22"/>
                <w:szCs w:val="22"/>
              </w:rPr>
              <w:t xml:space="preserve">Source</w:t>
            </w:r>
          </w:p>
        </w:tc>
      </w:tr>
      <w:tr>
        <w:tc>
          <w:tcPr>
            <w:tcW w:type="dxa" w:w="28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sz w:val="22"/>
                <w:szCs w:val="22"/>
              </w:rPr>
              <w:t xml:space="preserve">Client Name</w:t>
            </w:r>
          </w:p>
        </w:tc>
        <w:tc>
          <w:tcPr>
            <w:tcW w:type="dxa" w:w="65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sz w:val="22"/>
                <w:szCs w:val="22"/>
              </w:rPr>
              <w:t xml:space="preserve">Contact entity (client)</w:t>
            </w:r>
          </w:p>
        </w:tc>
      </w:tr>
      <w:tr>
        <w:tc>
          <w:tcPr>
            <w:tcW w:type="dxa" w:w="28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sz w:val="22"/>
                <w:szCs w:val="22"/>
              </w:rPr>
              <w:t xml:space="preserve">Company</w:t>
            </w:r>
          </w:p>
        </w:tc>
        <w:tc>
          <w:tcPr>
            <w:tcW w:type="dxa" w:w="65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sz w:val="22"/>
                <w:szCs w:val="22"/>
              </w:rPr>
              <w:t xml:space="preserve">Account entity</w:t>
            </w:r>
          </w:p>
        </w:tc>
      </w:tr>
      <w:tr>
        <w:tc>
          <w:tcPr>
            <w:tcW w:type="dxa" w:w="28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sz w:val="22"/>
                <w:szCs w:val="22"/>
              </w:rPr>
              <w:t xml:space="preserve">Engagement Start Date</w:t>
            </w:r>
          </w:p>
        </w:tc>
        <w:tc>
          <w:tcPr>
            <w:tcW w:type="dxa" w:w="65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sz w:val="22"/>
                <w:szCs w:val="22"/>
              </w:rPr>
              <w:t xml:space="preserve">Engagement entity</w:t>
            </w:r>
          </w:p>
        </w:tc>
      </w:tr>
      <w:tr>
        <w:tc>
          <w:tcPr>
            <w:tcW w:type="dxa" w:w="28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sz w:val="22"/>
                <w:szCs w:val="22"/>
              </w:rPr>
              <w:t xml:space="preserve">Engagement Status</w:t>
            </w:r>
          </w:p>
        </w:tc>
        <w:tc>
          <w:tcPr>
            <w:tcW w:type="dxa" w:w="65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sz w:val="22"/>
                <w:szCs w:val="22"/>
              </w:rPr>
              <w:t xml:space="preserve">Engagement entity</w:t>
            </w:r>
          </w:p>
        </w:tc>
      </w:tr>
      <w:tr>
        <w:tc>
          <w:tcPr>
            <w:tcW w:type="dxa" w:w="28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sz w:val="22"/>
                <w:szCs w:val="22"/>
              </w:rPr>
              <w:t xml:space="preserve">Sessions Completed</w:t>
            </w:r>
          </w:p>
        </w:tc>
        <w:tc>
          <w:tcPr>
            <w:tcW w:type="dxa" w:w="65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sz w:val="22"/>
                <w:szCs w:val="22"/>
              </w:rPr>
              <w:t xml:space="preserve">Computed: count of sessions with Completed status</w:t>
            </w:r>
          </w:p>
        </w:tc>
      </w:tr>
      <w:tr>
        <w:tc>
          <w:tcPr>
            <w:tcW w:type="dxa" w:w="28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sz w:val="22"/>
                <w:szCs w:val="22"/>
              </w:rPr>
              <w:t xml:space="preserve">Last Session Date</w:t>
            </w:r>
          </w:p>
        </w:tc>
        <w:tc>
          <w:tcPr>
            <w:tcW w:type="dxa" w:w="65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sz w:val="22"/>
                <w:szCs w:val="22"/>
              </w:rPr>
              <w:t xml:space="preserve">Computed: most recent session date with Completed status</w:t>
            </w:r>
          </w:p>
        </w:tc>
      </w:tr>
      <w:tr>
        <w:tc>
          <w:tcPr>
            <w:tcW w:type="dxa" w:w="28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sz w:val="22"/>
                <w:szCs w:val="22"/>
              </w:rPr>
              <w:t xml:space="preserve">Next Scheduled Session</w:t>
            </w:r>
          </w:p>
        </w:tc>
        <w:tc>
          <w:tcPr>
            <w:tcW w:type="dxa" w:w="65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sz w:val="22"/>
                <w:szCs w:val="22"/>
              </w:rPr>
              <w:t xml:space="preserve">Computed: earliest session date with Scheduled status</w:t>
            </w:r>
          </w:p>
        </w:tc>
      </w:tr>
      <w:tr>
        <w:tc>
          <w:tcPr>
            <w:tcW w:type="dxa" w:w="28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sz w:val="22"/>
                <w:szCs w:val="22"/>
              </w:rPr>
              <w:t xml:space="preserve">Co-Mentors / SMEs</w:t>
            </w:r>
          </w:p>
        </w:tc>
        <w:tc>
          <w:tcPr>
            <w:tcW w:type="dxa" w:w="65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sz w:val="22"/>
                <w:szCs w:val="22"/>
              </w:rPr>
              <w:t xml:space="preserve">Engagement relationships (Additional Mentors)</w:t>
            </w:r>
          </w:p>
        </w:tc>
      </w:tr>
      <w:tr>
        <w:tc>
          <w:tcPr>
            <w:tcW w:type="dxa" w:w="28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sz w:val="22"/>
                <w:szCs w:val="22"/>
              </w:rPr>
              <w:t xml:space="preserve">QuickNote</w:t>
            </w:r>
          </w:p>
        </w:tc>
        <w:tc>
          <w:tcPr>
            <w:tcW w:type="dxa" w:w="65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sz w:val="22"/>
                <w:szCs w:val="22"/>
              </w:rPr>
              <w:t xml:space="preserve">Engagement entity (editable in grid via detail screen)</w:t>
            </w:r>
          </w:p>
        </w:tc>
      </w:tr>
    </w:tbl>
    <w:p>
      <w:pPr>
        <w:spacing w:after="160"/>
      </w:pPr>
    </w:p>
    <w:p>
      <w:pPr>
        <w:spacing w:after="160"/>
      </w:pPr>
      <w:r>
        <w:rPr>
          <w:rFonts w:ascii="Arial" w:cs="Arial" w:eastAsia="Arial" w:hAnsi="Arial"/>
          <w:color w:val="000000"/>
          <w:sz w:val="22"/>
          <w:szCs w:val="22"/>
        </w:rPr>
        <w:t xml:space="preserve">The view applies a preset filter for active engagements only. For Mentors, the role-based parameter further filters to only their assigned engagements. Default sort is by Next Scheduled Session ascending (soonest first).</w:t>
      </w:r>
    </w:p>
    <w:p>
      <w:pPr>
        <w:pStyle w:val="Heading2"/>
        <w:spacing w:after="160" w:before="280"/>
      </w:pPr>
      <w:r>
        <w:rPr>
          <w:rFonts w:ascii="Arial" w:cs="Arial" w:eastAsia="Arial" w:hAnsi="Arial"/>
          <w:b/>
          <w:bCs/>
          <w:color w:val="1F3864"/>
          <w:sz w:val="24"/>
          <w:szCs w:val="24"/>
        </w:rPr>
        <w:t xml:space="preserve">11.4 Engagement Detail Screen</w:t>
      </w:r>
    </w:p>
    <w:p>
      <w:pPr>
        <w:spacing w:after="160"/>
      </w:pPr>
      <w:r>
        <w:rPr>
          <w:rFonts w:ascii="Arial" w:cs="Arial" w:eastAsia="Arial" w:hAnsi="Arial"/>
          <w:color w:val="000000"/>
          <w:sz w:val="22"/>
          <w:szCs w:val="22"/>
        </w:rPr>
        <w:t xml:space="preserve">Selecting an engagement from the grid opens the engagement detail screen, which displays:</w:t>
      </w:r>
    </w:p>
    <w:p>
      <w:pPr>
        <w:pStyle w:val="ListParagraph"/>
        <w:numPr>
          <w:ilvl w:val="0"/>
          <w:numId w:val="2"/>
        </w:numPr>
        <w:spacing w:after="80"/>
      </w:pPr>
      <w:r>
        <w:rPr>
          <w:rFonts w:ascii="Arial" w:cs="Arial" w:eastAsia="Arial" w:hAnsi="Arial"/>
          <w:sz w:val="22"/>
          <w:szCs w:val="22"/>
        </w:rPr>
        <w:t xml:space="preserve">Client contact details: name, phone, email</w:t>
      </w:r>
    </w:p>
    <w:p>
      <w:pPr>
        <w:pStyle w:val="ListParagraph"/>
        <w:numPr>
          <w:ilvl w:val="0"/>
          <w:numId w:val="2"/>
        </w:numPr>
        <w:spacing w:after="80"/>
      </w:pPr>
      <w:r>
        <w:rPr>
          <w:rFonts w:ascii="Arial" w:cs="Arial" w:eastAsia="Arial" w:hAnsi="Arial"/>
          <w:sz w:val="22"/>
          <w:szCs w:val="22"/>
        </w:rPr>
        <w:t xml:space="preserve">Company details</w:t>
      </w:r>
    </w:p>
    <w:p>
      <w:pPr>
        <w:pStyle w:val="ListParagraph"/>
        <w:numPr>
          <w:ilvl w:val="0"/>
          <w:numId w:val="2"/>
        </w:numPr>
        <w:spacing w:after="80"/>
      </w:pPr>
      <w:r>
        <w:rPr>
          <w:rFonts w:ascii="Arial" w:cs="Arial" w:eastAsia="Arial" w:hAnsi="Arial"/>
          <w:sz w:val="22"/>
          <w:szCs w:val="22"/>
        </w:rPr>
        <w:t xml:space="preserve">Engagement metadata: start date, status, meeting cadence</w:t>
      </w:r>
    </w:p>
    <w:p>
      <w:pPr>
        <w:pStyle w:val="ListParagraph"/>
        <w:numPr>
          <w:ilvl w:val="0"/>
          <w:numId w:val="2"/>
        </w:numPr>
        <w:spacing w:after="80"/>
      </w:pPr>
      <w:r>
        <w:rPr>
          <w:rFonts w:ascii="Arial" w:cs="Arial" w:eastAsia="Arial" w:hAnsi="Arial"/>
          <w:sz w:val="22"/>
          <w:szCs w:val="22"/>
        </w:rPr>
        <w:t xml:space="preserve">Co-mentors and SMEs assigned</w:t>
      </w:r>
    </w:p>
    <w:p>
      <w:pPr>
        <w:pStyle w:val="ListParagraph"/>
        <w:numPr>
          <w:ilvl w:val="0"/>
          <w:numId w:val="2"/>
        </w:numPr>
        <w:spacing w:after="80"/>
      </w:pPr>
      <w:r>
        <w:rPr>
          <w:rFonts w:ascii="Arial" w:cs="Arial" w:eastAsia="Arial" w:hAnsi="Arial"/>
          <w:sz w:val="22"/>
          <w:szCs w:val="22"/>
        </w:rPr>
        <w:t xml:space="preserve">QuickNote (editable)</w:t>
      </w:r>
    </w:p>
    <w:p>
      <w:pPr>
        <w:pStyle w:val="ListParagraph"/>
        <w:numPr>
          <w:ilvl w:val="0"/>
          <w:numId w:val="2"/>
        </w:numPr>
        <w:spacing w:after="80"/>
      </w:pPr>
      <w:r>
        <w:rPr>
          <w:rFonts w:ascii="Arial" w:cs="Arial" w:eastAsia="Arial" w:hAnsi="Arial"/>
          <w:sz w:val="22"/>
          <w:szCs w:val="22"/>
        </w:rPr>
        <w:t xml:space="preserve">Engagement Notes</w:t>
      </w:r>
    </w:p>
    <w:p>
      <w:pPr>
        <w:pStyle w:val="ListParagraph"/>
        <w:numPr>
          <w:ilvl w:val="0"/>
          <w:numId w:val="2"/>
        </w:numPr>
        <w:spacing w:after="80"/>
      </w:pPr>
      <w:r>
        <w:rPr>
          <w:rFonts w:ascii="Arial" w:cs="Arial" w:eastAsia="Arial" w:hAnsi="Arial"/>
          <w:sz w:val="22"/>
          <w:szCs w:val="22"/>
        </w:rPr>
        <w:t xml:space="preserve">Session history: all sessions with date, status, and session notes</w:t>
      </w:r>
    </w:p>
    <w:p>
      <w:pPr>
        <w:spacing w:after="160"/>
      </w:pPr>
      <w:r>
        <w:rPr>
          <w:rFonts w:ascii="Arial" w:cs="Arial" w:eastAsia="Arial" w:hAnsi="Arial"/>
          <w:color w:val="000000"/>
          <w:sz w:val="22"/>
          <w:szCs w:val="22"/>
        </w:rPr>
        <w:t xml:space="preserve">All fields are editable with auto-save. The mentor can add co-mentors/SMEs via the relationship addition feature.</w:t>
      </w:r>
    </w:p>
    <w:p>
      <w:pPr>
        <w:pStyle w:val="Heading2"/>
        <w:spacing w:after="160" w:before="280"/>
      </w:pPr>
      <w:r>
        <w:rPr>
          <w:rFonts w:ascii="Arial" w:cs="Arial" w:eastAsia="Arial" w:hAnsi="Arial"/>
          <w:b/>
          <w:bCs/>
          <w:color w:val="1F3864"/>
          <w:sz w:val="24"/>
          <w:szCs w:val="24"/>
        </w:rPr>
        <w:t xml:space="preserve">11.5 Session Workflow</w:t>
      </w:r>
    </w:p>
    <w:p>
      <w:pPr>
        <w:spacing w:after="160"/>
      </w:pPr>
      <w:r>
        <w:rPr>
          <w:rFonts w:ascii="Arial" w:cs="Arial" w:eastAsia="Arial" w:hAnsi="Arial"/>
          <w:color w:val="000000"/>
          <w:sz w:val="22"/>
          <w:szCs w:val="22"/>
        </w:rPr>
        <w:t xml:space="preserve">From the engagement detail screen, the mentor selects an existing scheduled session or creates a new one. The session form captures: date/time, duration, attendees, status, session notes, topics discussed, and next session date/time.</w:t>
      </w:r>
    </w:p>
    <w:p>
      <w:pPr>
        <w:spacing w:after="160"/>
      </w:pPr>
      <w:r>
        <w:rPr>
          <w:rFonts w:ascii="Arial" w:cs="Arial" w:eastAsia="Arial" w:hAnsi="Arial"/>
          <w:color w:val="000000"/>
          <w:sz w:val="22"/>
          <w:szCs w:val="22"/>
        </w:rPr>
        <w:t xml:space="preserve">Entering a next session date/time triggers Google Calendar event creation with all engagement contacts and co-mentors/SMEs as attendees. Pressing Done presents the session summary email workflow, pre-populated with session notes and next steps, with recipients defaulting to all engagement contacts.</w:t>
      </w:r>
    </w:p>
    <w:p>
      <w:r>
        <w:br w:type="page"/>
      </w:r>
    </w:p>
    <w:p>
      <w:pPr>
        <w:pStyle w:val="Heading1"/>
        <w:spacing w:after="200" w:before="360"/>
      </w:pPr>
      <w:r>
        <w:rPr>
          <w:rFonts w:ascii="Arial" w:cs="Arial" w:eastAsia="Arial" w:hAnsi="Arial"/>
          <w:b/>
          <w:bCs/>
          <w:color w:val="1F3864"/>
          <w:sz w:val="28"/>
          <w:szCs w:val="28"/>
        </w:rPr>
        <w:t xml:space="preserve">12. Open Issues and Decisions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3200"/>
        <w:gridCol w:w="5560"/>
      </w:tblGrid>
      <w:tr>
        <w:trPr>
          <w:tblHeader/>
        </w:trPr>
        <w:tc>
          <w:tcPr>
            <w:tcW w:type="dxa" w:w="6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22"/>
                <w:szCs w:val="22"/>
              </w:rPr>
              <w:t xml:space="preserve">#</w:t>
            </w:r>
          </w:p>
        </w:tc>
        <w:tc>
          <w:tcPr>
            <w:tcW w:type="dxa" w:w="3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22"/>
                <w:szCs w:val="22"/>
              </w:rPr>
              <w:t xml:space="preserve">Issue</w:t>
            </w:r>
          </w:p>
        </w:tc>
        <w:tc>
          <w:tcPr>
            <w:tcW w:type="dxa" w:w="556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22"/>
                <w:szCs w:val="22"/>
              </w:rPr>
              <w:t xml:space="preserve">Notes</w:t>
            </w:r>
          </w:p>
        </w:tc>
      </w:tr>
      <w:tr>
        <w:tc>
          <w:tcPr>
            <w:tcW w:type="dxa" w:w="6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sz w:val="22"/>
                <w:szCs w:val="22"/>
              </w:rPr>
              <w:t xml:space="preserve">1</w:t>
            </w:r>
          </w:p>
        </w:tc>
        <w:tc>
          <w:tcPr>
            <w:tcW w:type="dxa" w:w="3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sz w:val="22"/>
                <w:szCs w:val="22"/>
              </w:rPr>
              <w:t xml:space="preserve">CRM security team to role mapping mechanism</w:t>
            </w:r>
          </w:p>
        </w:tc>
        <w:tc>
          <w:tcPr>
            <w:tcW w:type="dxa" w:w="55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sz w:val="22"/>
                <w:szCs w:val="22"/>
              </w:rPr>
              <w:t xml:space="preserve">The application reads CRM security team memberships to determine roles, but the specific configuration interface (admin screen, config file, or database table with direct edit) needs definition.</w:t>
            </w:r>
          </w:p>
        </w:tc>
      </w:tr>
      <w:tr>
        <w:tc>
          <w:tcPr>
            <w:tcW w:type="dxa" w:w="6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sz w:val="22"/>
                <w:szCs w:val="22"/>
              </w:rPr>
              <w:t xml:space="preserve">2</w:t>
            </w:r>
          </w:p>
        </w:tc>
        <w:tc>
          <w:tcPr>
            <w:tcW w:type="dxa" w:w="3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sz w:val="22"/>
                <w:szCs w:val="22"/>
              </w:rPr>
              <w:t xml:space="preserve">Mentor-client relationship identification</w:t>
            </w:r>
          </w:p>
        </w:tc>
        <w:tc>
          <w:tcPr>
            <w:tcW w:type="dxa" w:w="55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sz w:val="22"/>
                <w:szCs w:val="22"/>
              </w:rPr>
              <w:t xml:space="preserve">The specific CRM field or relationship that identifies which clients belong to which mentor must be defined to implement the role-based data filtering parameter.</w:t>
            </w:r>
          </w:p>
        </w:tc>
      </w:tr>
      <w:tr>
        <w:tc>
          <w:tcPr>
            <w:tcW w:type="dxa" w:w="6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sz w:val="22"/>
                <w:szCs w:val="22"/>
              </w:rPr>
              <w:t xml:space="preserve">3</w:t>
            </w:r>
          </w:p>
        </w:tc>
        <w:tc>
          <w:tcPr>
            <w:tcW w:type="dxa" w:w="3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sz w:val="22"/>
                <w:szCs w:val="22"/>
              </w:rPr>
              <w:t xml:space="preserve">Detail screen design and build process</w:t>
            </w:r>
          </w:p>
        </w:tc>
        <w:tc>
          <w:tcPr>
            <w:tcW w:type="dxa" w:w="55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sz w:val="22"/>
                <w:szCs w:val="22"/>
              </w:rPr>
              <w:t xml:space="preserve">The AI-assisted design workflow for detail screen components needs to be formalized, including tooling, review criteria, and deployment process.</w:t>
            </w:r>
          </w:p>
        </w:tc>
      </w:tr>
      <w:tr>
        <w:tc>
          <w:tcPr>
            <w:tcW w:type="dxa" w:w="6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sz w:val="22"/>
                <w:szCs w:val="22"/>
              </w:rPr>
              <w:t xml:space="preserve">4</w:t>
            </w:r>
          </w:p>
        </w:tc>
        <w:tc>
          <w:tcPr>
            <w:tcW w:type="dxa" w:w="3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sz w:val="22"/>
                <w:szCs w:val="22"/>
              </w:rPr>
              <w:t xml:space="preserve">Constrained query builder</w:t>
            </w:r>
          </w:p>
        </w:tc>
        <w:tc>
          <w:tcPr>
            <w:tcW w:type="dxa" w:w="55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sz w:val="22"/>
                <w:szCs w:val="22"/>
              </w:rPr>
              <w:t xml:space="preserve">Identified as a future-release replacement for raw SQL in data source creation. Requirements for the query builder should be captured as a separate specification when prioritized.</w:t>
            </w:r>
          </w:p>
        </w:tc>
      </w:tr>
      <w:tr>
        <w:tc>
          <w:tcPr>
            <w:tcW w:type="dxa" w:w="6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sz w:val="22"/>
                <w:szCs w:val="22"/>
              </w:rPr>
              <w:t xml:space="preserve">5</w:t>
            </w:r>
          </w:p>
        </w:tc>
        <w:tc>
          <w:tcPr>
            <w:tcW w:type="dxa" w:w="3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sz w:val="22"/>
                <w:szCs w:val="22"/>
              </w:rPr>
              <w:t xml:space="preserve">CRM schema change management</w:t>
            </w:r>
          </w:p>
        </w:tc>
        <w:tc>
          <w:tcPr>
            <w:tcW w:type="dxa" w:w="55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sz w:val="22"/>
                <w:szCs w:val="22"/>
              </w:rPr>
              <w:t xml:space="preserve">Data source queries reference CRM database tables directly. A process for validating data sources after CRM upgrades needs to be defined to prevent broken views.</w:t>
            </w:r>
          </w:p>
        </w:tc>
      </w:tr>
      <w:tr>
        <w:tc>
          <w:tcPr>
            <w:tcW w:type="dxa" w:w="6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sz w:val="22"/>
                <w:szCs w:val="22"/>
              </w:rPr>
              <w:t xml:space="preserve">6</w:t>
            </w:r>
          </w:p>
        </w:tc>
        <w:tc>
          <w:tcPr>
            <w:tcW w:type="dxa" w:w="3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sz w:val="22"/>
                <w:szCs w:val="22"/>
              </w:rPr>
              <w:t xml:space="preserve">Google Workspace OAuth configuration</w:t>
            </w:r>
          </w:p>
        </w:tc>
        <w:tc>
          <w:tcPr>
            <w:tcW w:type="dxa" w:w="55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sz w:val="22"/>
                <w:szCs w:val="22"/>
              </w:rPr>
              <w:t xml:space="preserve">The Google Cloud project, OAuth client credentials, authorized redirect URIs, and scope approvals need to be configured for the production environment.</w:t>
            </w:r>
          </w:p>
        </w:tc>
      </w:tr>
      <w:tr>
        <w:tc>
          <w:tcPr>
            <w:tcW w:type="dxa" w:w="6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sz w:val="22"/>
                <w:szCs w:val="22"/>
              </w:rPr>
              <w:t xml:space="preserve">7</w:t>
            </w:r>
          </w:p>
        </w:tc>
        <w:tc>
          <w:tcPr>
            <w:tcW w:type="dxa" w:w="3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sz w:val="22"/>
                <w:szCs w:val="22"/>
              </w:rPr>
              <w:t xml:space="preserve">Calendar event update and cancellation</w:t>
            </w:r>
          </w:p>
        </w:tc>
        <w:tc>
          <w:tcPr>
            <w:tcW w:type="dxa" w:w="55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sz w:val="22"/>
                <w:szCs w:val="22"/>
              </w:rPr>
              <w:t xml:space="preserve">The current specification creates calendar events but does not address updating or canceling events when sessions are rescheduled or canceled. This workflow should be defined.</w:t>
            </w:r>
          </w:p>
        </w:tc>
      </w:tr>
      <w:tr>
        <w:tc>
          <w:tcPr>
            <w:tcW w:type="dxa" w:w="6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sz w:val="22"/>
                <w:szCs w:val="22"/>
              </w:rPr>
              <w:t xml:space="preserve">8</w:t>
            </w:r>
          </w:p>
        </w:tc>
        <w:tc>
          <w:tcPr>
            <w:tcW w:type="dxa" w:w="3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sz w:val="22"/>
                <w:szCs w:val="22"/>
              </w:rPr>
              <w:t xml:space="preserve">Session summary email template</w:t>
            </w:r>
          </w:p>
        </w:tc>
        <w:tc>
          <w:tcPr>
            <w:tcW w:type="dxa" w:w="55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sz w:val="22"/>
                <w:szCs w:val="22"/>
              </w:rPr>
              <w:t xml:space="preserve">The pre-populated email format (subject line, body structure, signature) should be defined and made configurable.</w:t>
            </w:r>
          </w:p>
        </w:tc>
      </w:tr>
      <w:tr>
        <w:tc>
          <w:tcPr>
            <w:tcW w:type="dxa" w:w="6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sz w:val="22"/>
                <w:szCs w:val="22"/>
              </w:rPr>
              <w:t xml:space="preserve">9</w:t>
            </w:r>
          </w:p>
        </w:tc>
        <w:tc>
          <w:tcPr>
            <w:tcW w:type="dxa" w:w="3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sz w:val="22"/>
                <w:szCs w:val="22"/>
              </w:rPr>
              <w:t xml:space="preserve">Engagement Summary data source SQL</w:t>
            </w:r>
          </w:p>
        </w:tc>
        <w:tc>
          <w:tcPr>
            <w:tcW w:type="dxa" w:w="55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sz w:val="22"/>
                <w:szCs w:val="22"/>
              </w:rPr>
              <w:t xml:space="preserve">The specific SQL query for the CBM Engagement Summary data source needs to be authored once the CRM schema is deployed.</w:t>
            </w:r>
          </w:p>
        </w:tc>
      </w:tr>
    </w:tbl>
    <w:p>
      <w:pPr>
        <w:spacing w:after="160"/>
      </w:pPr>
    </w:p>
    <w:p>
      <w:r>
        <w:br w:type="page"/>
      </w:r>
    </w:p>
    <w:p>
      <w:pPr>
        <w:pStyle w:val="Heading1"/>
        <w:spacing w:after="200" w:before="360"/>
      </w:pPr>
      <w:r>
        <w:rPr>
          <w:rFonts w:ascii="Arial" w:cs="Arial" w:eastAsia="Arial" w:hAnsi="Arial"/>
          <w:b/>
          <w:bCs/>
          <w:color w:val="1F3864"/>
          <w:sz w:val="28"/>
          <w:szCs w:val="28"/>
        </w:rPr>
        <w:t xml:space="preserve">13. Glossary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rPr>
          <w:tblHeader/>
        </w:trPr>
        <w:tc>
          <w:tcPr>
            <w:tcW w:type="dxa" w:w="28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22"/>
                <w:szCs w:val="22"/>
              </w:rPr>
              <w:t xml:space="preserve">Term</w:t>
            </w:r>
          </w:p>
        </w:tc>
        <w:tc>
          <w:tcPr>
            <w:tcW w:type="dxa" w:w="656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22"/>
                <w:szCs w:val="22"/>
              </w:rPr>
              <w:t xml:space="preserve">Definition</w:t>
            </w:r>
          </w:p>
        </w:tc>
      </w:tr>
      <w:tr>
        <w:tc>
          <w:tcPr>
            <w:tcW w:type="dxa" w:w="28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sz w:val="22"/>
                <w:szCs w:val="22"/>
              </w:rPr>
              <w:t xml:space="preserve">Admin</w:t>
            </w:r>
          </w:p>
        </w:tc>
        <w:tc>
          <w:tcPr>
            <w:tcW w:type="dxa" w:w="65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sz w:val="22"/>
                <w:szCs w:val="22"/>
              </w:rPr>
              <w:t xml:space="preserve">An application role that can use all views, see all client data, and create and manage views on existing data sources. Maps to CRM Client Admin and Mentor Admin security teams.</w:t>
            </w:r>
          </w:p>
        </w:tc>
      </w:tr>
      <w:tr>
        <w:tc>
          <w:tcPr>
            <w:tcW w:type="dxa" w:w="28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sz w:val="22"/>
                <w:szCs w:val="22"/>
              </w:rPr>
              <w:t xml:space="preserve">Data Source</w:t>
            </w:r>
          </w:p>
        </w:tc>
        <w:tc>
          <w:tcPr>
            <w:tcW w:type="dxa" w:w="65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sz w:val="22"/>
                <w:szCs w:val="22"/>
              </w:rPr>
              <w:t xml:space="preserve">A named, reusable query definition consisting of a SQL query, column metadata, hierarchy definition, and named parameters. Serves as the foundation for one or more views.</w:t>
            </w:r>
          </w:p>
        </w:tc>
      </w:tr>
      <w:tr>
        <w:tc>
          <w:tcPr>
            <w:tcW w:type="dxa" w:w="28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sz w:val="22"/>
                <w:szCs w:val="22"/>
              </w:rPr>
              <w:t xml:space="preserve">Detail Screen</w:t>
            </w:r>
          </w:p>
        </w:tc>
        <w:tc>
          <w:tcPr>
            <w:tcW w:type="dxa" w:w="65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sz w:val="22"/>
                <w:szCs w:val="22"/>
              </w:rPr>
              <w:t xml:space="preserve">A custom-designed user interface that combines fields from a record and its related entities into a single editing view. Built as a code artifact, not a runtime configuration.</w:t>
            </w:r>
          </w:p>
        </w:tc>
      </w:tr>
      <w:tr>
        <w:tc>
          <w:tcPr>
            <w:tcW w:type="dxa" w:w="28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sz w:val="22"/>
                <w:szCs w:val="22"/>
              </w:rPr>
              <w:t xml:space="preserve">Hierarchy</w:t>
            </w:r>
          </w:p>
        </w:tc>
        <w:tc>
          <w:tcPr>
            <w:tcW w:type="dxa" w:w="65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sz w:val="22"/>
                <w:szCs w:val="22"/>
              </w:rPr>
              <w:t xml:space="preserve">A parent-child grouping structure defined on a data source that controls how flat query results are organized into expandable/collapsible levels in the data grid.</w:t>
            </w:r>
          </w:p>
        </w:tc>
      </w:tr>
      <w:tr>
        <w:tc>
          <w:tcPr>
            <w:tcW w:type="dxa" w:w="28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sz w:val="22"/>
                <w:szCs w:val="22"/>
              </w:rPr>
              <w:t xml:space="preserve">Mentor</w:t>
            </w:r>
          </w:p>
        </w:tc>
        <w:tc>
          <w:tcPr>
            <w:tcW w:type="dxa" w:w="65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sz w:val="22"/>
                <w:szCs w:val="22"/>
              </w:rPr>
              <w:t xml:space="preserve">An application role that can use all views but sees only their own assigned clients. Maps to the CRM Mentor security team.</w:t>
            </w:r>
          </w:p>
        </w:tc>
      </w:tr>
      <w:tr>
        <w:tc>
          <w:tcPr>
            <w:tcW w:type="dxa" w:w="28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sz w:val="22"/>
                <w:szCs w:val="22"/>
              </w:rPr>
              <w:t xml:space="preserve">Named Parameter</w:t>
            </w:r>
          </w:p>
        </w:tc>
        <w:tc>
          <w:tcPr>
            <w:tcW w:type="dxa" w:w="65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sz w:val="22"/>
                <w:szCs w:val="22"/>
              </w:rPr>
              <w:t xml:space="preserve">A placeholder in a data source SQL query that the backend replaces with a runtime value (such as the current user’s ID) at query execution time.</w:t>
            </w:r>
          </w:p>
        </w:tc>
      </w:tr>
      <w:tr>
        <w:tc>
          <w:tcPr>
            <w:tcW w:type="dxa" w:w="28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sz w:val="22"/>
                <w:szCs w:val="22"/>
              </w:rPr>
              <w:t xml:space="preserve">OAuth 2.0</w:t>
            </w:r>
          </w:p>
        </w:tc>
        <w:tc>
          <w:tcPr>
            <w:tcW w:type="dxa" w:w="65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sz w:val="22"/>
                <w:szCs w:val="22"/>
              </w:rPr>
              <w:t xml:space="preserve">An authorization framework that allows the application to access Google Workspace services (Calendar, Gmail) on behalf of the user without storing their Google password.</w:t>
            </w:r>
          </w:p>
        </w:tc>
      </w:tr>
      <w:tr>
        <w:tc>
          <w:tcPr>
            <w:tcW w:type="dxa" w:w="28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sz w:val="22"/>
                <w:szCs w:val="22"/>
              </w:rPr>
              <w:t xml:space="preserve">QuickNote</w:t>
            </w:r>
          </w:p>
        </w:tc>
        <w:tc>
          <w:tcPr>
            <w:tcW w:type="dxa" w:w="65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sz w:val="22"/>
                <w:szCs w:val="22"/>
              </w:rPr>
              <w:t xml:space="preserve">A short-form text field on the engagement record that is visible in the grid view, allowing mentors to see brief status notes without opening the detail screen.</w:t>
            </w:r>
          </w:p>
        </w:tc>
      </w:tr>
      <w:tr>
        <w:tc>
          <w:tcPr>
            <w:tcW w:type="dxa" w:w="28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sz w:val="22"/>
                <w:szCs w:val="22"/>
              </w:rPr>
              <w:t xml:space="preserve">Role-Mapping Table</w:t>
            </w:r>
          </w:p>
        </w:tc>
        <w:tc>
          <w:tcPr>
            <w:tcW w:type="dxa" w:w="65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sz w:val="22"/>
                <w:szCs w:val="22"/>
              </w:rPr>
              <w:t xml:space="preserve">A configuration table that maps CRM security team memberships to application roles (Mentor, Admin, Super Admin).</w:t>
            </w:r>
          </w:p>
        </w:tc>
      </w:tr>
      <w:tr>
        <w:tc>
          <w:tcPr>
            <w:tcW w:type="dxa" w:w="28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sz w:val="22"/>
                <w:szCs w:val="22"/>
              </w:rPr>
              <w:t xml:space="preserve">Session Form</w:t>
            </w:r>
          </w:p>
        </w:tc>
        <w:tc>
          <w:tcPr>
            <w:tcW w:type="dxa" w:w="65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sz w:val="22"/>
                <w:szCs w:val="22"/>
              </w:rPr>
              <w:t xml:space="preserve">The data entry interface for capturing session details including date, duration, attendees, notes, topics, and next session scheduling.</w:t>
            </w:r>
          </w:p>
        </w:tc>
      </w:tr>
      <w:tr>
        <w:tc>
          <w:tcPr>
            <w:tcW w:type="dxa" w:w="28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sz w:val="22"/>
                <w:szCs w:val="22"/>
              </w:rPr>
              <w:t xml:space="preserve">Super Admin</w:t>
            </w:r>
          </w:p>
        </w:tc>
        <w:tc>
          <w:tcPr>
            <w:tcW w:type="dxa" w:w="65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sz w:val="22"/>
                <w:szCs w:val="22"/>
              </w:rPr>
              <w:t xml:space="preserve">An application role with full access: all Admin capabilities plus data source management and role-mapping configuration.</w:t>
            </w:r>
          </w:p>
        </w:tc>
      </w:tr>
      <w:tr>
        <w:tc>
          <w:tcPr>
            <w:tcW w:type="dxa" w:w="28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sz w:val="22"/>
                <w:szCs w:val="22"/>
              </w:rPr>
              <w:t xml:space="preserve">View</w:t>
            </w:r>
          </w:p>
        </w:tc>
        <w:tc>
          <w:tcPr>
            <w:tcW w:type="dxa" w:w="65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sz w:val="22"/>
                <w:szCs w:val="22"/>
              </w:rPr>
              <w:t xml:space="preserve">A named presentation configuration built on a data source that selects columns, applies filters, sets sort order, and controls display behavior.</w:t>
            </w:r>
          </w:p>
        </w:tc>
      </w:tr>
    </w:tbl>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888888"/>
        <w:sz w:val="18"/>
        <w:szCs w:val="18"/>
      </w:rPr>
      <w:t xml:space="preserve">Page </w:t>
    </w:r>
    <w:r>
      <w:rPr>
        <w:rFonts w:ascii="Arial" w:cs="Arial" w:eastAsia="Arial" w:hAnsi="Arial"/>
        <w:color w:val="888888"/>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F3864" w:sz="4" w:space="4"/>
      </w:pBdr>
      <w:tabs>
        <w:tab w:val="right" w:pos="9026"/>
      </w:tabs>
    </w:pPr>
    <w:r>
      <w:rPr>
        <w:rFonts w:ascii="Arial" w:cs="Arial" w:eastAsia="Arial" w:hAnsi="Arial"/>
        <w:color w:val="888888"/>
        <w:sz w:val="18"/>
        <w:szCs w:val="18"/>
      </w:rPr>
      <w:t xml:space="preserve">Cleveland Business Mentors</w:t>
    </w:r>
    <w:r>
      <w:rPr>
        <w:rFonts w:ascii="Arial" w:cs="Arial" w:eastAsia="Arial" w:hAnsi="Arial"/>
        <w:color w:val="888888"/>
        <w:sz w:val="18"/>
        <w:szCs w:val="18"/>
      </w:rPr>
      <w:t xml:space="preserve">	Mentor Engagement Application — L2 Functional Specification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1F3864"/>
      <w:sz w:val="28"/>
      <w:szCs w:val="28"/>
    </w:rPr>
  </w:style>
  <w:style w:type="paragraph" w:styleId="Heading2">
    <w:name w:val="Heading 2"/>
    <w:basedOn w:val="Normal"/>
    <w:next w:val="Normal"/>
    <w:qFormat/>
    <w:pPr>
      <w:spacing w:after="160" w:before="280"/>
      <w:outlineLvl w:val="1"/>
    </w:pPr>
    <w:rPr>
      <w:rFonts w:ascii="Arial" w:cs="Arial" w:eastAsia="Arial" w:hAnsi="Arial"/>
      <w:b/>
      <w:bCs/>
      <w:color w:val="1F3864"/>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2026-04-02T16:31:23.333Z</dcterms:created>
  <dcterms:modified xsi:type="dcterms:W3CDTF">2026-04-02T16:31:23.334Z</dcterms:modified>
</cp:coreProperties>
</file>

<file path=docProps/custom.xml><?xml version="1.0" encoding="utf-8"?>
<Properties xmlns="http://schemas.openxmlformats.org/officeDocument/2006/custom-properties" xmlns:vt="http://schemas.openxmlformats.org/officeDocument/2006/docPropsVTypes"/>
</file>